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63"/>
        <w:spacing w:before="0" w:after="0" w:line="240" w:lineRule="auto"/>
        <w:rPr>
          <w:rFonts w:ascii="宋体" w:eastAsia="宋体" w:cs="宋体" w:hAnsi="宋体"/>
          <w:b w:val="0"/>
          <w:bCs w:val="0"/>
          <w:sz w:val="30"/>
          <w:szCs w:val="30"/>
        </w:rPr>
      </w:pPr>
      <w:r>
        <w:rPr>
          <w:rFonts w:ascii="宋体" w:eastAsia="宋体" w:cs="宋体" w:hAnsi="宋体" w:hint="eastAsia"/>
          <w:b w:val="0"/>
          <w:bCs w:val="0"/>
          <w:sz w:val="30"/>
          <w:szCs w:val="30"/>
        </w:rPr>
        <w:t>附件1</w:t>
      </w:r>
    </w:p>
    <w:p>
      <w:pPr>
        <w:pStyle w:val="63"/>
        <w:spacing w:before="0" w:after="0" w:line="240" w:lineRule="auto"/>
        <w:rPr>
          <w:rFonts w:ascii="宋体" w:eastAsia="宋体" w:cs="宋体" w:hAnsi="宋体" w:hint="eastAsia"/>
          <w:sz w:val="44"/>
          <w:szCs w:val="44"/>
        </w:rPr>
      </w:pPr>
    </w:p>
    <w:p>
      <w:pPr>
        <w:pStyle w:val="63"/>
        <w:spacing w:before="0" w:after="0" w:line="240" w:lineRule="auto"/>
        <w:jc w:val="center"/>
        <w:rPr>
          <w:rFonts w:ascii="宋体" w:eastAsia="宋体" w:cs="宋体" w:hAnsi="宋体"/>
          <w:sz w:val="44"/>
          <w:szCs w:val="44"/>
        </w:rPr>
      </w:pPr>
      <w:bookmarkStart w:id="0" w:name="_GoBack"/>
      <w:r>
        <w:rPr>
          <w:rFonts w:ascii="宋体" w:eastAsia="宋体" w:cs="宋体" w:hAnsi="宋体" w:hint="eastAsia"/>
          <w:sz w:val="44"/>
          <w:szCs w:val="44"/>
        </w:rPr>
        <w:t>秦皇岛市网络预约出租车车载终端设备</w:t>
      </w:r>
    </w:p>
    <w:p>
      <w:pPr>
        <w:pStyle w:val="63"/>
        <w:spacing w:before="0" w:after="0" w:line="240" w:lineRule="auto"/>
        <w:jc w:val="center"/>
        <w:rPr>
          <w:rFonts w:ascii="宋体" w:eastAsia="宋体" w:cs="宋体" w:hAnsi="宋体"/>
          <w:sz w:val="44"/>
          <w:szCs w:val="44"/>
        </w:rPr>
      </w:pPr>
      <w:r>
        <w:rPr>
          <w:rFonts w:ascii="宋体" w:eastAsia="宋体" w:cs="宋体" w:hAnsi="宋体" w:hint="eastAsia"/>
          <w:sz w:val="44"/>
          <w:szCs w:val="44"/>
        </w:rPr>
        <w:t>接入监管平台及售后服务要求</w:t>
      </w:r>
    </w:p>
    <w:p>
      <w:pPr>
        <w:pStyle w:val="63"/>
        <w:spacing w:before="100" w:beforeAutospacing="1" w:after="100" w:afterAutospacing="1" w:line="240" w:lineRule="auto"/>
        <w:rPr>
          <w:rFonts w:ascii="仿宋_GB2312" w:eastAsia="仿宋_GB2312" w:cs="仿宋_GB2312" w:hAnsi="仿宋_GB2312"/>
          <w:sz w:val="32"/>
          <w:szCs w:val="32"/>
        </w:rPr>
      </w:pPr>
      <w:bookmarkEnd w:id="0"/>
    </w:p>
    <w:p>
      <w:pPr>
        <w:pStyle w:val="3"/>
        <w:spacing w:before="0" w:after="0" w:line="360" w:lineRule="auto"/>
        <w:ind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一、车载终端设备要求</w:t>
      </w:r>
    </w:p>
    <w:p>
      <w:pPr>
        <w:pStyle w:val="133"/>
        <w:numPr>
          <w:ilvl w:val="0"/>
          <w:numId w:val="1"/>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b/>
          <w:bCs/>
          <w:sz w:val="32"/>
          <w:szCs w:val="32"/>
        </w:rPr>
        <w:t>合规性标准</w:t>
      </w:r>
      <w:r>
        <w:rPr>
          <w:rFonts w:ascii="仿宋_GB2312" w:eastAsia="仿宋_GB2312" w:cs="仿宋_GB2312" w:hAnsi="仿宋_GB2312" w:hint="eastAsia"/>
          <w:sz w:val="32"/>
          <w:szCs w:val="32"/>
        </w:rPr>
        <w:t>：车载终端设备须严格遵循《</w:t>
      </w:r>
      <w:bookmarkStart w:id="1" w:name="_Hlk216166256"/>
      <w:r>
        <w:rPr>
          <w:rFonts w:ascii="仿宋_GB2312" w:eastAsia="仿宋_GB2312" w:cs="仿宋_GB2312" w:hAnsi="仿宋_GB2312" w:hint="eastAsia"/>
          <w:sz w:val="32"/>
          <w:szCs w:val="32"/>
        </w:rPr>
        <w:t>秦皇岛市网络预约出租汽车车载终端设备配置指引》</w:t>
      </w:r>
      <w:bookmarkEnd w:id="1"/>
      <w:r>
        <w:rPr>
          <w:rFonts w:ascii="仿宋_GB2312" w:eastAsia="仿宋_GB2312" w:cs="仿宋_GB2312" w:hAnsi="仿宋_GB2312" w:hint="eastAsia"/>
          <w:sz w:val="32"/>
          <w:szCs w:val="32"/>
        </w:rPr>
        <w:t>，全面满足文件规定的技术参数、功能指标及安装规范要求，无任何偏离或简化配置情况。</w:t>
      </w:r>
    </w:p>
    <w:p>
      <w:pPr>
        <w:pStyle w:val="133"/>
        <w:numPr>
          <w:ilvl w:val="0"/>
          <w:numId w:val="1"/>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b/>
          <w:bCs/>
          <w:sz w:val="32"/>
          <w:szCs w:val="32"/>
        </w:rPr>
        <w:t>入网资质要求</w:t>
      </w:r>
      <w:r>
        <w:rPr>
          <w:rFonts w:ascii="仿宋_GB2312" w:eastAsia="仿宋_GB2312" w:cs="仿宋_GB2312" w:hAnsi="仿宋_GB2312" w:hint="eastAsia"/>
          <w:sz w:val="32"/>
          <w:szCs w:val="32"/>
        </w:rPr>
        <w:t xml:space="preserve">：设备须通过秦皇岛市网约车监管平台（以下简称 “监管平台”）组织的入网测试，确保硬件性能、数据传输协议与监管平台完全兼容，且设备相关信息已在秦皇岛市交通局网站公示。 </w:t>
      </w:r>
    </w:p>
    <w:p>
      <w:pPr>
        <w:pStyle w:val="3"/>
        <w:spacing w:before="0" w:after="0" w:line="360" w:lineRule="auto"/>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二、设备安装及入网要求</w:t>
      </w:r>
    </w:p>
    <w:p>
      <w:pPr>
        <w:pStyle w:val="133"/>
        <w:numPr>
          <w:ilvl w:val="0"/>
          <w:numId w:val="2"/>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b/>
          <w:bCs/>
          <w:sz w:val="32"/>
          <w:szCs w:val="32"/>
        </w:rPr>
        <w:t>安装责任：</w:t>
      </w:r>
      <w:r>
        <w:rPr>
          <w:rFonts w:ascii="仿宋_GB2312" w:eastAsia="仿宋_GB2312" w:cs="仿宋_GB2312" w:hAnsi="仿宋_GB2312" w:hint="eastAsia"/>
          <w:sz w:val="32"/>
          <w:szCs w:val="32"/>
        </w:rPr>
        <w:t>设备服务商负责组织具备相应资质的专业技术人员完成车载终端设备的安装、调试及固定，确保设备安装牢固、线路规整，不影响车辆正常行驶及原有功能使用。</w:t>
      </w:r>
    </w:p>
    <w:p>
      <w:pPr>
        <w:pStyle w:val="133"/>
        <w:numPr>
          <w:ilvl w:val="0"/>
          <w:numId w:val="2"/>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b/>
          <w:bCs/>
          <w:sz w:val="32"/>
          <w:szCs w:val="32"/>
        </w:rPr>
        <w:t>入网对接：</w:t>
      </w:r>
      <w:r>
        <w:rPr>
          <w:rFonts w:ascii="仿宋_GB2312" w:eastAsia="仿宋_GB2312" w:cs="仿宋_GB2312" w:hAnsi="仿宋_GB2312" w:hint="eastAsia"/>
          <w:sz w:val="32"/>
          <w:szCs w:val="32"/>
        </w:rPr>
        <w:t>服务商须完成车载终端设备与监管平台的联网对接，确保定位数据、音视频数据、设备运行状态数据等信息实时、无延迟、无丢失上传至监管平台。</w:t>
      </w:r>
    </w:p>
    <w:p>
      <w:pPr>
        <w:pStyle w:val="133"/>
        <w:numPr>
          <w:ilvl w:val="0"/>
          <w:numId w:val="2"/>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b/>
          <w:bCs/>
          <w:sz w:val="32"/>
          <w:szCs w:val="32"/>
        </w:rPr>
        <w:t>合同管理：</w:t>
      </w:r>
      <w:r>
        <w:rPr>
          <w:rFonts w:ascii="仿宋_GB2312" w:eastAsia="仿宋_GB2312" w:cs="仿宋_GB2312" w:hAnsi="仿宋_GB2312" w:hint="eastAsia"/>
          <w:sz w:val="32"/>
          <w:szCs w:val="32"/>
        </w:rPr>
        <w:t>服务商必须与网络预约出租车经营者签订书面服务合同，明确设备型号、安装标准、保修期限、维护责任、故障处理时限、备机提供条件、费用标准等核心条款，合同有效期不得短于设备质保期。</w:t>
      </w:r>
    </w:p>
    <w:p>
      <w:pPr>
        <w:pStyle w:val="3"/>
        <w:spacing w:before="0" w:after="0" w:line="360" w:lineRule="auto"/>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三、售后服务保障要求</w:t>
      </w:r>
    </w:p>
    <w:p>
      <w:pPr>
        <w:pStyle w:val="133"/>
        <w:numPr>
          <w:ilvl w:val="0"/>
          <w:numId w:val="3"/>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b/>
          <w:bCs/>
          <w:sz w:val="32"/>
          <w:szCs w:val="32"/>
        </w:rPr>
        <w:t>质保服务：</w:t>
      </w:r>
      <w:r>
        <w:rPr>
          <w:rFonts w:ascii="仿宋_GB2312" w:eastAsia="仿宋_GB2312" w:cs="仿宋_GB2312" w:hAnsi="仿宋_GB2312" w:hint="eastAsia"/>
          <w:sz w:val="32"/>
          <w:szCs w:val="32"/>
        </w:rPr>
        <w:t>车载终端设备整机质保期不少于 1年（自设备接入监管平台成功之日起计算），质保期内因设备自身质量问题、非人为损坏或正常使用导致的故障，服务商需提供免费维修</w:t>
      </w:r>
    </w:p>
    <w:p>
      <w:pPr>
        <w:pStyle w:val="133"/>
        <w:numPr>
          <w:ilvl w:val="0"/>
          <w:numId w:val="3"/>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零部件更换服务，不得收取任何额外费用。</w:t>
      </w:r>
    </w:p>
    <w:p>
      <w:pPr>
        <w:pStyle w:val="133"/>
        <w:numPr>
          <w:ilvl w:val="0"/>
          <w:numId w:val="3"/>
        </w:numPr>
        <w:tabs>
          <w:tab w:val="clear" w:pos="720"/>
        </w:tabs>
        <w:spacing w:before="0" w:after="0" w:line="360" w:lineRule="auto"/>
        <w:ind w:left="0" w:firstLineChars="200" w:firstLine="640"/>
        <w:jc w:val="both"/>
        <w:rPr>
          <w:rFonts w:ascii="仿宋_GB2312" w:eastAsia="仿宋_GB2312" w:cs="仿宋_GB2312" w:hAnsi="仿宋_GB2312"/>
          <w:b/>
          <w:bCs/>
          <w:sz w:val="32"/>
          <w:szCs w:val="32"/>
        </w:rPr>
      </w:pPr>
      <w:r>
        <w:rPr>
          <w:rFonts w:ascii="仿宋_GB2312" w:eastAsia="仿宋_GB2312" w:cs="仿宋_GB2312" w:hAnsi="仿宋_GB2312" w:hint="eastAsia"/>
          <w:b/>
          <w:bCs/>
          <w:sz w:val="32"/>
          <w:szCs w:val="32"/>
        </w:rPr>
        <w:t>维修网点建设：</w:t>
      </w:r>
    </w:p>
    <w:p>
      <w:pPr>
        <w:pStyle w:val="133"/>
        <w:numPr>
          <w:ilvl w:val="1"/>
          <w:numId w:val="4"/>
        </w:numPr>
        <w:spacing w:before="0" w:after="0" w:line="360" w:lineRule="auto"/>
        <w:ind w:left="0"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服务商需在秦皇岛市城市区内设立不少于1个标准化维修网点，网点选址需布局合理且覆盖核心运营区域。</w:t>
      </w:r>
    </w:p>
    <w:p>
      <w:pPr>
        <w:pStyle w:val="133"/>
        <w:numPr>
          <w:ilvl w:val="1"/>
          <w:numId w:val="4"/>
        </w:numPr>
        <w:spacing w:before="0" w:after="0" w:line="360" w:lineRule="auto"/>
        <w:ind w:left="0"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维修网点需配备常用零部件储备库及专业维修人员，全年 8:00-18:00 提供现场维修服务，节假日无休。</w:t>
      </w:r>
    </w:p>
    <w:p>
      <w:pPr>
        <w:pStyle w:val="133"/>
        <w:numPr>
          <w:ilvl w:val="1"/>
          <w:numId w:val="4"/>
        </w:numPr>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故障响应机制：接到用户故障报修后，2小时内出具处理方案（含故障原因分析、维修时长预估、是否提供备机等）；若维修无匹配备件或预计维修时长超过12小时，须提供同型号、同配置的备用设备，保障网约车正常运营，备机使用期间不得向用户收取任何费用。</w:t>
      </w:r>
    </w:p>
    <w:p>
      <w:pPr>
        <w:pStyle w:val="133"/>
        <w:numPr>
          <w:ilvl w:val="0"/>
          <w:numId w:val="3"/>
        </w:numPr>
        <w:tabs>
          <w:tab w:val="clear" w:pos="720"/>
        </w:tabs>
        <w:spacing w:before="0" w:after="0" w:line="360" w:lineRule="auto"/>
        <w:ind w:left="0" w:firstLineChars="200" w:firstLine="640"/>
        <w:jc w:val="both"/>
        <w:rPr>
          <w:rFonts w:ascii="仿宋_GB2312" w:eastAsia="仿宋_GB2312" w:cs="仿宋_GB2312" w:hAnsi="仿宋_GB2312"/>
          <w:b/>
          <w:bCs/>
          <w:sz w:val="32"/>
          <w:szCs w:val="32"/>
        </w:rPr>
      </w:pPr>
      <w:r>
        <w:rPr>
          <w:rFonts w:ascii="仿宋_GB2312" w:eastAsia="仿宋_GB2312" w:cs="仿宋_GB2312" w:hAnsi="仿宋_GB2312" w:hint="eastAsia"/>
          <w:b/>
          <w:bCs/>
          <w:sz w:val="32"/>
          <w:szCs w:val="32"/>
        </w:rPr>
        <w:t>售后服务热线：</w:t>
      </w:r>
    </w:p>
    <w:p>
      <w:pPr>
        <w:pStyle w:val="133"/>
        <w:numPr>
          <w:ilvl w:val="1"/>
          <w:numId w:val="5"/>
        </w:numPr>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设立专属 24 小时售后服务热线，开通人工值守与语音留言双通道：8:00-20:00提供实时人工服务；20:00 - 次日 8:00 提供语音留言服务，明确提示用户留言要素（车辆信息、设备故障描述、联系方式）。</w:t>
      </w:r>
    </w:p>
    <w:p>
      <w:pPr>
        <w:pStyle w:val="133"/>
        <w:numPr>
          <w:ilvl w:val="1"/>
          <w:numId w:val="5"/>
        </w:numPr>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配备专职服务专员，对用户诉求实行 “一对一” 跟进，语音留言需在 12 小时内响应并联系用户。</w:t>
      </w:r>
    </w:p>
    <w:p>
      <w:pPr>
        <w:pStyle w:val="133"/>
        <w:numPr>
          <w:ilvl w:val="0"/>
          <w:numId w:val="3"/>
        </w:numPr>
        <w:tabs>
          <w:tab w:val="clear" w:pos="720"/>
        </w:tabs>
        <w:spacing w:before="0" w:after="0" w:line="360" w:lineRule="auto"/>
        <w:ind w:left="0" w:firstLineChars="200" w:firstLine="640"/>
        <w:jc w:val="both"/>
        <w:rPr>
          <w:rFonts w:ascii="仿宋_GB2312" w:eastAsia="仿宋_GB2312" w:cs="仿宋_GB2312" w:hAnsi="仿宋_GB2312"/>
          <w:b/>
          <w:bCs/>
          <w:sz w:val="32"/>
          <w:szCs w:val="32"/>
        </w:rPr>
      </w:pPr>
      <w:r>
        <w:rPr>
          <w:rFonts w:ascii="仿宋_GB2312" w:eastAsia="仿宋_GB2312" w:cs="仿宋_GB2312" w:hAnsi="仿宋_GB2312" w:hint="eastAsia"/>
          <w:b/>
          <w:bCs/>
          <w:sz w:val="32"/>
          <w:szCs w:val="32"/>
        </w:rPr>
        <w:t>质保期后服务：</w:t>
      </w:r>
    </w:p>
    <w:p>
      <w:pPr>
        <w:pStyle w:val="133"/>
        <w:spacing w:before="0" w:after="0" w:line="360" w:lineRule="auto"/>
        <w:ind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质保期届满后，服务商需提供终身维修服务，维修仅收取零部件成本费及合理工时费，需要在维修点公示维修项目、零部件价格和工时费用等信息；维修前必须以书面或电子形式明确告知用户维修项目、零部件价格、工时费金额等费用明细，经用户签字或确认同意后，方可开展维修施工，严禁擅自加价或增加未约定服务项目。</w:t>
      </w:r>
    </w:p>
    <w:p>
      <w:pPr>
        <w:pStyle w:val="3"/>
        <w:spacing w:before="0" w:after="0" w:line="360" w:lineRule="auto"/>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四、设备接入监管平台入网审核要求</w:t>
      </w:r>
    </w:p>
    <w:p>
      <w:pPr>
        <w:pStyle w:val="133"/>
        <w:numPr>
          <w:ilvl w:val="0"/>
          <w:numId w:val="6"/>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b/>
          <w:bCs/>
          <w:sz w:val="32"/>
          <w:szCs w:val="32"/>
        </w:rPr>
        <w:t>备案材料提交：</w:t>
      </w:r>
      <w:r>
        <w:rPr>
          <w:rFonts w:ascii="仿宋_GB2312" w:eastAsia="仿宋_GB2312" w:cs="仿宋_GB2312" w:hAnsi="仿宋_GB2312" w:hint="eastAsia"/>
          <w:sz w:val="32"/>
          <w:szCs w:val="32"/>
        </w:rPr>
        <w:t>设备接入监管平台前，设备服务商需向监管平台提交完整的备案材料，包括但不限于：</w:t>
      </w:r>
    </w:p>
    <w:p>
      <w:pPr>
        <w:pStyle w:val="133"/>
        <w:numPr>
          <w:ilvl w:val="1"/>
          <w:numId w:val="7"/>
        </w:numPr>
        <w:spacing w:before="0" w:after="0" w:line="360" w:lineRule="auto"/>
        <w:ind w:left="0"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设备接入秦皇岛市网约车监管平台申请书</w:t>
      </w:r>
    </w:p>
    <w:p>
      <w:pPr>
        <w:pStyle w:val="133"/>
        <w:numPr>
          <w:ilvl w:val="1"/>
          <w:numId w:val="7"/>
        </w:numPr>
        <w:spacing w:before="0" w:after="0" w:line="360" w:lineRule="auto"/>
        <w:ind w:left="0"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设备3C认证证书原件及复印件；</w:t>
      </w:r>
    </w:p>
    <w:p>
      <w:pPr>
        <w:pStyle w:val="133"/>
        <w:numPr>
          <w:ilvl w:val="1"/>
          <w:numId w:val="7"/>
        </w:numPr>
        <w:spacing w:before="0" w:after="0" w:line="360" w:lineRule="auto"/>
        <w:ind w:left="0"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具备法定资质的第三方检测机构出具的设备功能检测报告、性能测试报告；</w:t>
      </w:r>
    </w:p>
    <w:p>
      <w:pPr>
        <w:pStyle w:val="133"/>
        <w:numPr>
          <w:ilvl w:val="1"/>
          <w:numId w:val="7"/>
        </w:numPr>
        <w:spacing w:before="0" w:after="0" w:line="360" w:lineRule="auto"/>
        <w:ind w:left="0"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服务商企业营业执照、相关行业资质证书、设备生产厂家授权委托书。同时需附设备厂家出具的兜底承诺文件，明确当服务商不具备售后服务履约能力时，由设备厂家承接并完成售后服务相关工作；</w:t>
      </w:r>
    </w:p>
    <w:p>
      <w:pPr>
        <w:pStyle w:val="133"/>
        <w:numPr>
          <w:ilvl w:val="1"/>
          <w:numId w:val="7"/>
        </w:numPr>
        <w:spacing w:before="0" w:after="0" w:line="360" w:lineRule="auto"/>
        <w:ind w:left="0"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维修网点信息（包括网点地址、售后人员），售后服务承诺及联系方式；</w:t>
      </w:r>
    </w:p>
    <w:p>
      <w:pPr>
        <w:pStyle w:val="133"/>
        <w:numPr>
          <w:ilvl w:val="1"/>
          <w:numId w:val="7"/>
        </w:numPr>
        <w:spacing w:before="0" w:after="0" w:line="360" w:lineRule="auto"/>
        <w:ind w:left="0"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数据传输协议说明、设备操作手册及维护指南。</w:t>
      </w:r>
    </w:p>
    <w:p>
      <w:pPr>
        <w:pStyle w:val="133"/>
        <w:numPr>
          <w:ilvl w:val="0"/>
          <w:numId w:val="6"/>
        </w:numPr>
        <w:tabs>
          <w:tab w:val="clear" w:pos="720"/>
        </w:tabs>
        <w:spacing w:before="0" w:after="0" w:line="360" w:lineRule="auto"/>
        <w:ind w:left="0" w:firstLineChars="200" w:firstLine="640"/>
        <w:jc w:val="both"/>
        <w:rPr>
          <w:rFonts w:ascii="仿宋_GB2312" w:eastAsia="仿宋_GB2312" w:cs="仿宋_GB2312" w:hAnsi="仿宋_GB2312"/>
          <w:b/>
          <w:bCs/>
          <w:sz w:val="32"/>
          <w:szCs w:val="32"/>
        </w:rPr>
      </w:pPr>
      <w:r>
        <w:rPr>
          <w:rFonts w:ascii="仿宋_GB2312" w:eastAsia="仿宋_GB2312" w:cs="仿宋_GB2312" w:hAnsi="仿宋_GB2312" w:hint="eastAsia"/>
          <w:b/>
          <w:bCs/>
          <w:sz w:val="32"/>
          <w:szCs w:val="32"/>
        </w:rPr>
        <w:t>入网审核流程：</w:t>
      </w:r>
    </w:p>
    <w:p>
      <w:pPr>
        <w:pStyle w:val="133"/>
        <w:spacing w:before="0" w:after="0" w:line="360" w:lineRule="auto"/>
        <w:ind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监管平台对备案材料进行形式审查和实质核查，核查通过后组织联网接入测试。测试内容包括数据传输稳定性、功能兼容性、抗干扰能力等。测试合格并确认数据上传兼容无误的，经秦皇岛市交通局网站公示后，设备准予接入监管平台。审核或测试不合格的，服务商需完成整改并重新提交申请。</w:t>
      </w:r>
    </w:p>
    <w:p>
      <w:pPr>
        <w:pStyle w:val="3"/>
        <w:spacing w:before="0" w:after="0" w:line="360" w:lineRule="auto"/>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五、网络链路要求</w:t>
      </w:r>
    </w:p>
    <w:p>
      <w:pPr>
        <w:pStyle w:val="133"/>
        <w:numPr>
          <w:ilvl w:val="0"/>
          <w:numId w:val="8"/>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b/>
          <w:bCs/>
          <w:sz w:val="32"/>
          <w:szCs w:val="32"/>
        </w:rPr>
        <w:t>网络链路传输标准：</w:t>
      </w:r>
    </w:p>
    <w:p>
      <w:pPr>
        <w:pStyle w:val="133"/>
        <w:numPr>
          <w:ilvl w:val="1"/>
          <w:numId w:val="9"/>
        </w:numPr>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网络链路采用物联网专网，与互联网隔离，确保数据传输安全，防止数据泄露、篡改或窃取风险。</w:t>
      </w:r>
    </w:p>
    <w:p>
      <w:pPr>
        <w:pStyle w:val="133"/>
        <w:numPr>
          <w:ilvl w:val="1"/>
          <w:numId w:val="9"/>
        </w:numPr>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网络接入需满足4G及以上高速网络标准，支持网络模式自动切换，保障在复杂路况及信号薄弱区域的数据传输连续性；运营商需提供专线接入监管平台服务，网络带宽满足音视频实时传输需求，无卡顿、无延迟。</w:t>
      </w:r>
    </w:p>
    <w:p>
      <w:pPr>
        <w:pStyle w:val="133"/>
        <w:numPr>
          <w:ilvl w:val="0"/>
          <w:numId w:val="8"/>
        </w:numPr>
        <w:tabs>
          <w:tab w:val="clear" w:pos="720"/>
        </w:tabs>
        <w:spacing w:before="0" w:after="0" w:line="360" w:lineRule="auto"/>
        <w:ind w:left="0" w:firstLineChars="200" w:firstLine="640"/>
        <w:jc w:val="both"/>
        <w:rPr>
          <w:rFonts w:ascii="仿宋_GB2312" w:eastAsia="仿宋_GB2312" w:cs="仿宋_GB2312" w:hAnsi="仿宋_GB2312"/>
          <w:b/>
          <w:bCs/>
          <w:sz w:val="32"/>
          <w:szCs w:val="32"/>
        </w:rPr>
      </w:pPr>
      <w:r>
        <w:rPr>
          <w:rFonts w:ascii="仿宋_GB2312" w:eastAsia="仿宋_GB2312" w:cs="仿宋_GB2312" w:hAnsi="仿宋_GB2312" w:hint="eastAsia"/>
          <w:b/>
          <w:bCs/>
          <w:sz w:val="32"/>
          <w:szCs w:val="32"/>
        </w:rPr>
        <w:t>网络运营商接入：</w:t>
      </w:r>
    </w:p>
    <w:p>
      <w:pPr>
        <w:pStyle w:val="133"/>
        <w:spacing w:before="0" w:after="0" w:line="360" w:lineRule="auto"/>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监管平台不指定单一网络电信运营商，各运营商在满足网络链路传输标准的前提下，搭建接入监管平台的专线即可为车载终端提供服务。</w:t>
      </w:r>
    </w:p>
    <w:p>
      <w:pPr>
        <w:pStyle w:val="133"/>
        <w:numPr>
          <w:ilvl w:val="0"/>
          <w:numId w:val="8"/>
        </w:numPr>
        <w:tabs>
          <w:tab w:val="clear" w:pos="720"/>
        </w:tabs>
        <w:spacing w:before="0" w:after="0" w:line="360" w:lineRule="auto"/>
        <w:ind w:left="0" w:firstLineChars="200" w:firstLine="640"/>
        <w:jc w:val="both"/>
        <w:rPr>
          <w:rFonts w:ascii="仿宋_GB2312" w:eastAsia="仿宋_GB2312" w:cs="仿宋_GB2312" w:hAnsi="仿宋_GB2312"/>
          <w:b/>
          <w:bCs/>
          <w:sz w:val="32"/>
          <w:szCs w:val="32"/>
        </w:rPr>
      </w:pPr>
      <w:r>
        <w:rPr>
          <w:rFonts w:ascii="仿宋_GB2312" w:eastAsia="仿宋_GB2312" w:cs="仿宋_GB2312" w:hAnsi="仿宋_GB2312" w:hint="eastAsia"/>
          <w:b/>
          <w:bCs/>
          <w:sz w:val="32"/>
          <w:szCs w:val="32"/>
        </w:rPr>
        <w:t>网络运营商选择：</w:t>
      </w:r>
    </w:p>
    <w:p>
      <w:pPr>
        <w:pStyle w:val="133"/>
        <w:spacing w:before="0" w:after="0" w:line="360" w:lineRule="auto"/>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设备服务商自主选择已与监管平台完成电路对接的电信运营商，签订正式的流量卡服务协议。流量卡需专门用于车载终端设备数据传输，不得挪作他用。</w:t>
      </w:r>
    </w:p>
    <w:p>
      <w:pPr>
        <w:pStyle w:val="133"/>
        <w:numPr>
          <w:ilvl w:val="0"/>
          <w:numId w:val="8"/>
        </w:numPr>
        <w:tabs>
          <w:tab w:val="clear" w:pos="720"/>
        </w:tabs>
        <w:spacing w:before="0" w:after="0" w:line="360" w:lineRule="auto"/>
        <w:ind w:left="0" w:firstLineChars="200" w:firstLine="640"/>
        <w:jc w:val="both"/>
        <w:rPr>
          <w:rFonts w:ascii="仿宋_GB2312" w:eastAsia="仿宋_GB2312" w:cs="仿宋_GB2312" w:hAnsi="仿宋_GB2312"/>
          <w:b/>
          <w:bCs/>
          <w:sz w:val="32"/>
          <w:szCs w:val="32"/>
        </w:rPr>
      </w:pPr>
      <w:r>
        <w:rPr>
          <w:rFonts w:ascii="仿宋_GB2312" w:eastAsia="仿宋_GB2312" w:cs="仿宋_GB2312" w:hAnsi="仿宋_GB2312" w:hint="eastAsia"/>
          <w:b/>
          <w:bCs/>
          <w:sz w:val="32"/>
          <w:szCs w:val="32"/>
        </w:rPr>
        <w:t>网络保障责任：</w:t>
      </w:r>
    </w:p>
    <w:p>
      <w:pPr>
        <w:pStyle w:val="133"/>
        <w:spacing w:before="0" w:after="0" w:line="360" w:lineRule="auto"/>
        <w:ind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设备服务商需与运营商明确网络故障处理责任，运营商需提供7×24 小时网络运维服务，网络故障响应时间≤1小时，故障修复时限≤4小时。因网络问题导致数据传输中断的，服务商需协调运营商及时排查修复，并向监管平台提交故障说明及整改报告。</w:t>
      </w:r>
    </w:p>
    <w:p>
      <w:pPr>
        <w:pStyle w:val="3"/>
        <w:spacing w:before="0" w:after="0" w:line="360" w:lineRule="auto"/>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六、附加责任与监管要求</w:t>
      </w:r>
    </w:p>
    <w:p>
      <w:pPr>
        <w:pStyle w:val="133"/>
        <w:numPr>
          <w:ilvl w:val="0"/>
          <w:numId w:val="10"/>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设备服务商需建立设备台账及售后服务档案，详细记录设备安装信息、入网时间、质保期限、维修记录、用户诉求处理情况等，档案保存期限不少于3年，接受监管部门随时核查。</w:t>
      </w:r>
    </w:p>
    <w:p>
      <w:pPr>
        <w:pStyle w:val="133"/>
        <w:numPr>
          <w:ilvl w:val="0"/>
          <w:numId w:val="10"/>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设备服务商需配合监管平台开展设备运行状态抽检、数据质量核查等工作，对发现的问题及时整改，整改时限不得超过7个工作日。</w:t>
      </w:r>
    </w:p>
    <w:p>
      <w:pPr>
        <w:pStyle w:val="133"/>
        <w:numPr>
          <w:ilvl w:val="0"/>
          <w:numId w:val="10"/>
        </w:numPr>
        <w:tabs>
          <w:tab w:val="clear" w:pos="720"/>
        </w:tabs>
        <w:spacing w:before="0" w:after="0" w:line="360" w:lineRule="auto"/>
        <w:ind w:left="0"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若设备服务商存在提供不合格设备、未按要求安装、售后服务不到位、数据传输异常且未及时整改等违规行为，监管部门有权暂停其设备接入资格，情节严重的取消入网备案，追究相关责任。</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F96518B"/>
    <w:multiLevelType w:val="multilevel"/>
    <w:tmpl w:val="5F96518B"/>
    <w:lvl w:ilvl="0">
      <w:start w:val="1"/>
      <w:numFmt w:val="decimal"/>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3997EBF"/>
    <w:multiLevelType w:val="multilevel"/>
    <w:tmpl w:val="13997EBF"/>
    <w:lvl w:ilvl="0">
      <w:start w:val="1"/>
      <w:numFmt w:val="decimal"/>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C05D0E"/>
    <w:multiLevelType w:val="multilevel"/>
    <w:tmpl w:val="3CC05D0E"/>
    <w:lvl w:ilvl="0">
      <w:start w:val="1"/>
      <w:numFmt w:val="decimal"/>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9FE787F"/>
    <w:multiLevelType w:val="multilevel"/>
    <w:tmpl w:val="69FE787F"/>
    <w:lvl w:ilvl="0">
      <w:start w:val="1"/>
      <w:numFmt w:val="decimal"/>
      <w:lvlRestart w:val="0"/>
      <w:lvlText w:val="%1."/>
      <w:lvlJc w:val="left"/>
      <w:pPr>
        <w:tabs>
          <w:tab w:val="num" w:pos="720"/>
        </w:tabs>
        <w:ind w:left="720" w:hanging="720"/>
      </w:pPr>
    </w:lvl>
    <w:lvl w:ilvl="1">
      <w:start w:val="1"/>
      <w:numFmt w:val="decimal"/>
      <w:lvlText w:val="%2)"/>
      <w:lvlJc w:val="left"/>
      <w:pPr>
        <w:ind w:left="1160" w:hanging="44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E3066FC"/>
    <w:multiLevelType w:val="multilevel"/>
    <w:tmpl w:val="0E3066FC"/>
    <w:lvl w:ilvl="0">
      <w:start w:val="1"/>
      <w:numFmt w:val="decimal"/>
      <w:lvlRestart w:val="0"/>
      <w:lvlText w:val="%1."/>
      <w:lvlJc w:val="left"/>
      <w:pPr>
        <w:tabs>
          <w:tab w:val="num" w:pos="720"/>
        </w:tabs>
        <w:ind w:left="720" w:hanging="720"/>
      </w:pPr>
    </w:lvl>
    <w:lvl w:ilvl="1">
      <w:start w:val="1"/>
      <w:numFmt w:val="decimal"/>
      <w:lvlText w:val="%2)"/>
      <w:lvlJc w:val="left"/>
      <w:pPr>
        <w:ind w:left="1160" w:hanging="44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4303116"/>
    <w:multiLevelType w:val="multilevel"/>
    <w:tmpl w:val="74303116"/>
    <w:lvl w:ilvl="0">
      <w:start w:val="1"/>
      <w:numFmt w:val="decimal"/>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1F51A59"/>
    <w:multiLevelType w:val="multilevel"/>
    <w:tmpl w:val="41F51A59"/>
    <w:lvl w:ilvl="0">
      <w:start w:val="1"/>
      <w:numFmt w:val="decimal"/>
      <w:lvlRestart w:val="0"/>
      <w:lvlText w:val="%1."/>
      <w:lvlJc w:val="left"/>
      <w:pPr>
        <w:tabs>
          <w:tab w:val="num" w:pos="720"/>
        </w:tabs>
        <w:ind w:left="720" w:hanging="720"/>
      </w:pPr>
    </w:lvl>
    <w:lvl w:ilvl="1">
      <w:start w:val="1"/>
      <w:numFmt w:val="decimal"/>
      <w:lvlText w:val="%2)"/>
      <w:lvlJc w:val="left"/>
      <w:pPr>
        <w:ind w:left="1160" w:hanging="44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C942910"/>
    <w:multiLevelType w:val="multilevel"/>
    <w:tmpl w:val="3C942910"/>
    <w:lvl w:ilvl="0">
      <w:start w:val="1"/>
      <w:numFmt w:val="decimal"/>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92B3574"/>
    <w:multiLevelType w:val="multilevel"/>
    <w:tmpl w:val="492B3574"/>
    <w:lvl w:ilvl="0">
      <w:start w:val="1"/>
      <w:numFmt w:val="decimal"/>
      <w:lvlRestart w:val="0"/>
      <w:lvlText w:val="%1."/>
      <w:lvlJc w:val="left"/>
      <w:pPr>
        <w:tabs>
          <w:tab w:val="num" w:pos="720"/>
        </w:tabs>
        <w:ind w:left="720" w:hanging="720"/>
      </w:pPr>
    </w:lvl>
    <w:lvl w:ilvl="1">
      <w:start w:val="1"/>
      <w:numFmt w:val="decimal"/>
      <w:lvlText w:val="%2)"/>
      <w:lvlJc w:val="left"/>
      <w:pPr>
        <w:ind w:left="1160" w:hanging="44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4002063"/>
    <w:multiLevelType w:val="multilevel"/>
    <w:tmpl w:val="64002063"/>
    <w:lvl w:ilvl="0">
      <w:start w:val="1"/>
      <w:numFmt w:val="decimal"/>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link w:val="1Char"/>
    <w:pPr>
      <w:spacing w:before="380" w:after="140" w:line="288" w:lineRule="auto"/>
      <w:outlineLvl w:val="0"/>
    </w:pPr>
    <w:rPr>
      <w:rFonts w:ascii="Arial" w:eastAsia="等线" w:cs="Arial" w:hAnsi="Arial"/>
      <w:b/>
      <w:bCs/>
      <w:sz w:val="36"/>
      <w:szCs w:val="36"/>
      <w:lang w:val="en-US" w:eastAsia="zh-CN" w:bidi="ar-SA"/>
    </w:rPr>
  </w:style>
  <w:style w:type="character" w:customStyle="1" w:styleId="1Char">
    <w:name w:val="heading 1 Char"/>
    <w:basedOn w:val="10"/>
    <w:link w:val="1"/>
    <w:rPr>
      <w:rFonts w:ascii="Arial" w:eastAsia="等线" w:cs="Arial" w:hAnsi="Arial"/>
      <w:b/>
      <w:bCs/>
      <w:sz w:val="36"/>
      <w:szCs w:val="36"/>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Calibri"/>
      <w:b/>
      <w:bCs/>
      <w:kern w:val="2"/>
      <w:sz w:val="32"/>
      <w:szCs w:val="32"/>
      <w:lang w:val="en-US" w:eastAsia="zh-CN" w:bidi="ar-SA"/>
    </w:rPr>
  </w:style>
  <w:style w:type="paragraph" w:styleId="3">
    <w:name w:val="heading 3"/>
    <w:qFormat/>
    <w:link w:val="3Char"/>
    <w:pPr>
      <w:spacing w:before="300" w:after="120" w:line="288" w:lineRule="auto"/>
      <w:outlineLvl w:val="2"/>
    </w:pPr>
    <w:rPr>
      <w:rFonts w:ascii="Arial" w:eastAsia="等线" w:cs="Arial" w:hAnsi="Arial"/>
      <w:b/>
      <w:bCs/>
      <w:sz w:val="30"/>
      <w:szCs w:val="30"/>
      <w:lang w:val="en-US" w:eastAsia="zh-CN" w:bidi="ar-SA"/>
    </w:rPr>
  </w:style>
  <w:style w:type="character" w:customStyle="1" w:styleId="3Char">
    <w:name w:val="heading 3 Char"/>
    <w:basedOn w:val="10"/>
    <w:link w:val="3"/>
    <w:rPr>
      <w:rFonts w:ascii="Arial" w:eastAsia="等线" w:cs="Arial" w:hAnsi="Arial"/>
      <w:b/>
      <w:bCs/>
      <w:sz w:val="30"/>
      <w:szCs w:val="30"/>
      <w:lang w:val="en-US" w:eastAsia="zh-CN" w:bidi="ar-SA"/>
    </w:rPr>
  </w:style>
  <w:style w:type="character" w:default="1" w:styleId="10">
    <w:name w:val="Default Paragraph Font"/>
    <w:qFormat/>
  </w:style>
  <w:style w:type="paragraph" w:styleId="63">
    <w:name w:val="Title"/>
    <w:qFormat/>
    <w:pPr>
      <w:spacing w:before="480" w:after="480" w:line="288" w:lineRule="auto"/>
    </w:pPr>
    <w:rPr>
      <w:rFonts w:ascii="Arial" w:eastAsia="等线" w:cs="Arial" w:hAnsi="Arial"/>
      <w:b/>
      <w:bCs/>
      <w:sz w:val="52"/>
      <w:szCs w:val="52"/>
      <w:lang w:val="en-US" w:eastAsia="zh-CN" w:bidi="ar-SA"/>
    </w:rPr>
  </w:style>
  <w:style w:type="paragraph" w:customStyle="1" w:yozoId="4094" w:styleId="133">
    <w:name w:val="2"/>
    <w:qFormat/>
    <w:pPr>
      <w:spacing w:before="120" w:after="120" w:line="288" w:lineRule="auto"/>
    </w:pPr>
    <w:rPr>
      <w:rFonts w:ascii="Arial" w:eastAsia="等线" w:cs="Arial" w:hAnsi="Arial"/>
      <w:sz w:val="22"/>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802F56B4-481D-47EF-B028-296DE6E2987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Yozo_Office9.0.5978.102ZH.HE59</Application>
  <Pages>6</Pages>
  <Words>0</Words>
  <Characters>1655</Characters>
  <Lines>0</Lines>
  <Paragraphs>48</Paragraphs>
  <CharactersWithSpaces>2207</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hp</cp:lastModifiedBy>
  <cp:revision>2</cp:revision>
  <dcterms:created xsi:type="dcterms:W3CDTF">2021-05-08T07:28:00Z</dcterms:created>
  <dcterms:modified xsi:type="dcterms:W3CDTF">2025-12-11T06:25:56Z</dcterms:modified>
</cp:coreProperties>
</file>