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overflowPunct w:val="0"/>
        <w:adjustRightInd w:val="0"/>
        <w:snapToGrid w:val="0"/>
        <w:spacing w:before="0" w:after="0" w:line="579" w:lineRule="exact"/>
        <w:rPr>
          <w:rFonts w:ascii="仿宋_GB2312" w:eastAsia="仿宋_GB2312" w:cs="仿宋_GB2312" w:hAnsi="仿宋_GB2312"/>
          <w:b w:val="0"/>
          <w:bCs w:val="0"/>
          <w:sz w:val="30"/>
          <w:szCs w:val="30"/>
        </w:rPr>
      </w:pPr>
      <w:r>
        <w:rPr>
          <w:rFonts w:ascii="仿宋_GB2312" w:eastAsia="仿宋_GB2312" w:cs="仿宋_GB2312" w:hAnsi="仿宋_GB2312" w:hint="eastAsia"/>
          <w:b w:val="0"/>
          <w:bCs w:val="0"/>
          <w:sz w:val="30"/>
          <w:szCs w:val="30"/>
        </w:rPr>
        <w:t>附件2</w:t>
      </w:r>
    </w:p>
    <w:p>
      <w:pPr>
        <w:pStyle w:val="1"/>
        <w:overflowPunct w:val="0"/>
        <w:adjustRightInd w:val="0"/>
        <w:snapToGrid w:val="0"/>
        <w:spacing w:before="0" w:after="0" w:line="579" w:lineRule="exact"/>
        <w:rPr>
          <w:rFonts w:ascii="仿宋_GB2312" w:eastAsia="仿宋_GB2312" w:cs="仿宋_GB2312" w:hAnsi="仿宋_GB2312"/>
          <w:sz w:val="30"/>
          <w:szCs w:val="30"/>
        </w:rPr>
      </w:pPr>
    </w:p>
    <w:p>
      <w:pPr>
        <w:pStyle w:val="1"/>
        <w:overflowPunct w:val="0"/>
        <w:adjustRightInd w:val="0"/>
        <w:snapToGrid w:val="0"/>
        <w:spacing w:before="0" w:after="0" w:line="579" w:lineRule="exact"/>
        <w:jc w:val="center"/>
        <w:rPr>
          <w:rFonts w:ascii="宋体" w:eastAsia="宋体" w:cs="宋体" w:hAnsi="宋体"/>
          <w:b w:val="0"/>
          <w:bCs w:val="0"/>
          <w:sz w:val="44"/>
          <w:szCs w:val="44"/>
        </w:rPr>
      </w:pPr>
      <w:bookmarkStart w:id="0" w:name="_GoBack"/>
      <w:r>
        <w:rPr>
          <w:rFonts w:ascii="宋体" w:eastAsia="宋体" w:cs="宋体" w:hAnsi="宋体" w:hint="eastAsia"/>
          <w:b w:val="0"/>
          <w:bCs w:val="0"/>
          <w:sz w:val="44"/>
          <w:szCs w:val="44"/>
        </w:rPr>
        <w:t>秦皇岛市网络预约出租汽车车载终端设备</w:t>
      </w:r>
      <w:bookmarkStart w:id="1" w:name="_Toc91593493"/>
    </w:p>
    <w:p>
      <w:pPr>
        <w:pStyle w:val="1"/>
        <w:overflowPunct w:val="0"/>
        <w:adjustRightInd w:val="0"/>
        <w:snapToGrid w:val="0"/>
        <w:spacing w:before="0" w:after="0" w:line="579" w:lineRule="exact"/>
        <w:jc w:val="center"/>
        <w:rPr>
          <w:rFonts w:ascii="宋体" w:eastAsia="宋体" w:cs="宋体" w:hAnsi="宋体"/>
          <w:b w:val="0"/>
          <w:bCs w:val="0"/>
          <w:sz w:val="44"/>
          <w:szCs w:val="44"/>
        </w:rPr>
      </w:pPr>
      <w:r>
        <w:rPr>
          <w:rFonts w:ascii="宋体" w:eastAsia="宋体" w:cs="宋体" w:hAnsi="宋体" w:hint="eastAsia"/>
          <w:b w:val="0"/>
          <w:bCs w:val="0"/>
          <w:sz w:val="44"/>
          <w:szCs w:val="44"/>
        </w:rPr>
        <w:t>配置指引</w:t>
      </w:r>
      <w:bookmarkEnd w:id="1"/>
    </w:p>
    <w:p>
      <w:pPr>
        <w:pStyle w:val="1"/>
        <w:overflowPunct w:val="0"/>
        <w:adjustRightInd w:val="0"/>
        <w:snapToGrid w:val="0"/>
        <w:spacing w:before="0" w:after="0" w:line="579" w:lineRule="exact"/>
        <w:rPr>
          <w:rFonts w:ascii="黑体" w:eastAsia="黑体" w:cs="黑体" w:hAnsi="黑体"/>
          <w:b w:val="0"/>
          <w:bCs w:val="0"/>
          <w:sz w:val="32"/>
          <w:szCs w:val="32"/>
        </w:rPr>
      </w:pPr>
      <w:bookmarkStart w:id="2" w:name="_Toc25138"/>
      <w:bookmarkStart w:id="3" w:name="_Toc275935749"/>
      <w:bookmarkStart w:id="4" w:name="_Toc275961491"/>
      <w:bookmarkStart w:id="5" w:name="_Toc23097"/>
      <w:bookmarkStart w:id="6" w:name="_Toc282676209"/>
      <w:bookmarkStart w:id="7" w:name="_Toc32264"/>
      <w:bookmarkStart w:id="8" w:name="_Toc362621237"/>
      <w:bookmarkStart w:id="9" w:name="_Toc20014"/>
      <w:bookmarkStart w:id="10" w:name="_Toc277142996"/>
      <w:bookmarkStart w:id="11" w:name="_Toc24646"/>
      <w:bookmarkStart w:id="12" w:name="_Toc361993043"/>
      <w:bookmarkStart w:id="13" w:name="_Toc362612484"/>
      <w:bookmarkStart w:id="14" w:name="_Toc2296"/>
      <w:bookmarkStart w:id="15" w:name="_Toc27531"/>
      <w:bookmarkStart w:id="16" w:name="_Toc436227101"/>
      <w:bookmarkStart w:id="17" w:name="_Toc364776432"/>
      <w:bookmarkStart w:id="18" w:name="_Toc359398888"/>
      <w:bookmarkStart w:id="19" w:name="_Toc363055365"/>
      <w:bookmarkStart w:id="20" w:name="_Toc274896872"/>
      <w:bookmarkStart w:id="21" w:name="_Toc359401285"/>
      <w:bookmarkStart w:id="22" w:name="_Toc361993740"/>
      <w:bookmarkStart w:id="23" w:name="_Toc14127"/>
      <w:bookmarkStart w:id="24" w:name="_Toc20380"/>
      <w:bookmarkStart w:id="25" w:name="_Toc17478"/>
      <w:bookmarkStart w:id="26" w:name="_Toc360719597"/>
      <w:bookmarkStart w:id="27" w:name="_Toc91709820"/>
      <w:bookmarkStart w:id="28" w:name="_Toc277236907"/>
      <w:bookmarkStart w:id="29" w:name="_Toc20394"/>
      <w:bookmarkStart w:id="30" w:name="_Toc6440"/>
      <w:bookmarkStart w:id="31" w:name="_Toc364930885"/>
      <w:bookmarkStart w:id="32" w:name="_Toc4812"/>
      <w:bookmarkStart w:id="33" w:name="_Toc404583646"/>
      <w:bookmarkStart w:id="34" w:name="_Toc24815"/>
      <w:bookmarkStart w:id="35" w:name="_Toc362620274"/>
      <w:bookmarkStart w:id="36" w:name="_Toc10860"/>
      <w:bookmarkStart w:id="37" w:name="_Toc275969251"/>
      <w:bookmarkStart w:id="38" w:name="_Toc13792"/>
      <w:bookmarkStart w:id="39" w:name="_Toc274927757"/>
      <w:bookmarkStart w:id="40" w:name="_Toc360718201"/>
      <w:bookmarkStart w:id="41" w:name="_Toc19430"/>
      <w:bookmarkStart w:id="42" w:name="_Toc275969208"/>
      <w:bookmarkStart w:id="43" w:name="_Toc281487644"/>
      <w:bookmarkStart w:id="44" w:name="_Toc16900"/>
      <w:bookmarkEnd w:id="0"/>
      <w:r>
        <w:rPr>
          <w:rFonts w:ascii="黑体" w:eastAsia="黑体" w:cs="黑体" w:hAnsi="黑体" w:hint="eastAsia"/>
          <w:b w:val="0"/>
          <w:bCs w:val="0"/>
          <w:sz w:val="32"/>
          <w:szCs w:val="32"/>
        </w:rPr>
        <w:t>一、适用范围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本指引规定了车载终端设备的技术要求。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本指引适用于安装于我市网络预约出租汽车上的车载终端设备。</w:t>
      </w:r>
    </w:p>
    <w:p>
      <w:pPr>
        <w:pStyle w:val="1"/>
        <w:overflowPunct w:val="0"/>
        <w:adjustRightInd w:val="0"/>
        <w:snapToGrid w:val="0"/>
        <w:spacing w:before="0" w:after="0" w:line="579" w:lineRule="exact"/>
        <w:rPr>
          <w:rFonts w:ascii="黑体" w:eastAsia="黑体" w:cs="黑体" w:hAnsi="黑体"/>
          <w:b w:val="0"/>
          <w:bCs w:val="0"/>
          <w:sz w:val="32"/>
          <w:szCs w:val="32"/>
        </w:rPr>
      </w:pPr>
      <w:bookmarkStart w:id="45" w:name="_Toc268787316"/>
      <w:bookmarkStart w:id="46" w:name="_Toc268787311"/>
      <w:bookmarkStart w:id="47" w:name="_Toc268787319"/>
      <w:bookmarkStart w:id="48" w:name="_Toc268787315"/>
      <w:bookmarkStart w:id="49" w:name="_Toc268781934"/>
      <w:bookmarkStart w:id="50" w:name="_Toc268787318"/>
      <w:bookmarkStart w:id="51" w:name="_Toc268781939"/>
      <w:bookmarkStart w:id="52" w:name="_Toc268787313"/>
      <w:bookmarkStart w:id="53" w:name="_Toc268787312"/>
      <w:bookmarkStart w:id="54" w:name="_Toc268781936"/>
      <w:bookmarkStart w:id="55" w:name="_Toc268781940"/>
      <w:bookmarkStart w:id="56" w:name="_Toc268781932"/>
      <w:bookmarkStart w:id="57" w:name="_Toc268781937"/>
      <w:bookmarkStart w:id="58" w:name="_Toc268787317"/>
      <w:bookmarkStart w:id="59" w:name="_Toc274896874"/>
      <w:bookmarkStart w:id="60" w:name="_Toc268781933"/>
      <w:bookmarkStart w:id="61" w:name="_Toc268781938"/>
      <w:bookmarkStart w:id="62" w:name="_Toc18968"/>
      <w:bookmarkStart w:id="63" w:name="_Toc5816"/>
      <w:bookmarkStart w:id="64" w:name="_Toc20370"/>
      <w:bookmarkStart w:id="65" w:name="_Toc7180"/>
      <w:bookmarkStart w:id="66" w:name="_Toc12501"/>
      <w:bookmarkStart w:id="67" w:name="_Toc19754"/>
      <w:bookmarkStart w:id="68" w:name="_Toc362620275"/>
      <w:bookmarkStart w:id="69" w:name="_Toc404583647"/>
      <w:bookmarkStart w:id="70" w:name="_Toc18144"/>
      <w:bookmarkStart w:id="71" w:name="_Toc5848"/>
      <w:bookmarkStart w:id="72" w:name="_Toc91709821"/>
      <w:bookmarkStart w:id="73" w:name="_Toc22103"/>
      <w:bookmarkStart w:id="74" w:name="_Toc23424"/>
      <w:bookmarkStart w:id="75" w:name="_Toc27759"/>
      <w:bookmarkStart w:id="76" w:name="_Toc362621238"/>
      <w:bookmarkStart w:id="77" w:name="_Toc363055366"/>
      <w:bookmarkStart w:id="78" w:name="_Toc12207"/>
      <w:bookmarkStart w:id="79" w:name="_Toc364776433"/>
      <w:bookmarkStart w:id="80" w:name="_Toc32147"/>
      <w:bookmarkStart w:id="81" w:name="_Toc8393"/>
      <w:bookmarkStart w:id="82" w:name="_Toc26207"/>
      <w:bookmarkStart w:id="83" w:name="_Toc16360"/>
      <w:bookmarkStart w:id="84" w:name="_Toc2071"/>
      <w:bookmarkStart w:id="85" w:name="_Toc364930886"/>
      <w:bookmarkStart w:id="86" w:name="_Toc436227102"/>
      <w:bookmarkStart w:id="87" w:name="_Toc5291"/>
      <w:bookmarkStart w:id="88" w:name="_Toc307473847"/>
      <w:bookmarkStart w:id="89" w:name="_Toc362612485"/>
      <w:bookmarkStart w:id="90" w:name="_Toc361993741"/>
      <w:bookmarkStart w:id="91" w:name="_Toc3619930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黑体" w:eastAsia="黑体" w:cs="黑体" w:hAnsi="黑体" w:hint="eastAsia"/>
          <w:b w:val="0"/>
          <w:bCs w:val="0"/>
          <w:sz w:val="32"/>
          <w:szCs w:val="32"/>
        </w:rPr>
        <w:t>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黑体" w:eastAsia="黑体" w:cs="黑体" w:hAnsi="黑体" w:hint="eastAsia"/>
          <w:b w:val="0"/>
          <w:bCs w:val="0"/>
          <w:sz w:val="32"/>
          <w:szCs w:val="32"/>
        </w:rPr>
        <w:t>编制依据</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下列文件对于本文件的应用是必不可少的。凡是注日期的引用文件，仅所注日期的版本适用于本文件。凡是不注日期的引用文件，其最新版本（包括所有的修改单）适用于本文件。</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bookmarkStart w:id="92" w:name="OLE_LINK3"/>
      <w:bookmarkStart w:id="93" w:name="_Toc364930887"/>
      <w:bookmarkStart w:id="94" w:name="_Toc364776434"/>
      <w:bookmarkStart w:id="95" w:name="_Toc362621239"/>
      <w:bookmarkStart w:id="96" w:name="_Toc362612486"/>
      <w:bookmarkStart w:id="97" w:name="_Toc362620276"/>
      <w:bookmarkStart w:id="98" w:name="_Toc363055367"/>
      <w:r>
        <w:rPr>
          <w:rFonts w:ascii="仿宋" w:eastAsia="仿宋" w:cs="仿宋" w:hAnsi="仿宋" w:hint="eastAsia"/>
          <w:b w:val="0"/>
          <w:bCs w:val="0"/>
          <w:sz w:val="32"/>
          <w:szCs w:val="32"/>
        </w:rPr>
        <w:t>出租汽车服务管理信息系统（JT/T905）</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bookmarkEnd w:id="92"/>
      <w:r>
        <w:rPr>
          <w:rFonts w:ascii="仿宋" w:eastAsia="仿宋" w:cs="仿宋" w:hAnsi="仿宋" w:hint="eastAsia"/>
          <w:b w:val="0"/>
          <w:bCs w:val="0"/>
          <w:sz w:val="32"/>
          <w:szCs w:val="32"/>
        </w:rPr>
        <w:t>出租汽车运营服务规范（GB/T22485）</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网络预约出租汽车运营服务规范（JT/T1068-2016）</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道路运输车辆卫星定位系统车载终端技术要求（JT/T794-2019）</w:t>
      </w:r>
      <w:bookmarkStart w:id="99" w:name="_Toc12576"/>
      <w:bookmarkStart w:id="100" w:name="_Toc5130"/>
      <w:bookmarkStart w:id="101" w:name="_Toc362620278"/>
      <w:bookmarkStart w:id="102" w:name="_Toc6416"/>
      <w:bookmarkStart w:id="103" w:name="_Toc2952"/>
      <w:bookmarkStart w:id="104" w:name="_Toc364930889"/>
      <w:bookmarkStart w:id="105" w:name="_Toc363055369"/>
      <w:bookmarkStart w:id="106" w:name="_Toc362621241"/>
      <w:bookmarkStart w:id="107" w:name="_Toc26826"/>
      <w:bookmarkStart w:id="108" w:name="_Toc16583"/>
      <w:bookmarkStart w:id="109" w:name="_Toc91709822"/>
      <w:bookmarkStart w:id="110" w:name="_Toc436227115"/>
      <w:bookmarkStart w:id="111" w:name="_Toc7150"/>
      <w:bookmarkStart w:id="112" w:name="_Toc404583662"/>
      <w:bookmarkStart w:id="113" w:name="_Toc1880"/>
      <w:bookmarkStart w:id="114" w:name="_Toc6359"/>
      <w:bookmarkStart w:id="115" w:name="_Toc31100"/>
      <w:bookmarkStart w:id="116" w:name="_Toc18547"/>
      <w:bookmarkStart w:id="117" w:name="_Toc2091"/>
      <w:bookmarkStart w:id="118" w:name="_Toc23530"/>
      <w:bookmarkStart w:id="119" w:name="_Toc31523"/>
      <w:bookmarkStart w:id="120" w:name="_Toc364776436"/>
      <w:bookmarkStart w:id="121" w:name="_Toc24431"/>
      <w:bookmarkStart w:id="122" w:name="_Toc362612488"/>
      <w:bookmarkStart w:id="123" w:name="_Toc4910"/>
      <w:bookmarkStart w:id="124" w:name="_Toc15807"/>
      <w:bookmarkStart w:id="125" w:name="_Toc17294"/>
      <w:bookmarkEnd w:id="90"/>
      <w:bookmarkEnd w:id="91"/>
      <w:bookmarkEnd w:id="93"/>
      <w:bookmarkEnd w:id="94"/>
      <w:bookmarkEnd w:id="95"/>
      <w:bookmarkEnd w:id="96"/>
      <w:bookmarkEnd w:id="97"/>
      <w:bookmarkEnd w:id="98"/>
    </w:p>
    <w:p>
      <w:pPr>
        <w:pStyle w:val="1"/>
        <w:overflowPunct w:val="0"/>
        <w:adjustRightInd w:val="0"/>
        <w:snapToGrid w:val="0"/>
        <w:spacing w:before="0" w:after="0" w:line="579" w:lineRule="exact"/>
        <w:rPr>
          <w:rFonts w:ascii="黑体" w:eastAsia="黑体" w:cs="黑体" w:hAnsi="黑体"/>
          <w:b w:val="0"/>
          <w:bCs w:val="0"/>
          <w:sz w:val="32"/>
          <w:szCs w:val="32"/>
        </w:rPr>
      </w:pPr>
      <w:r>
        <w:rPr>
          <w:rFonts w:ascii="黑体" w:eastAsia="黑体" w:cs="黑体" w:hAnsi="黑体" w:hint="eastAsia"/>
          <w:b w:val="0"/>
          <w:bCs w:val="0"/>
          <w:sz w:val="32"/>
          <w:szCs w:val="32"/>
        </w:rPr>
        <w:t>三、总体要求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pStyle w:val="1"/>
        <w:overflowPunct w:val="0"/>
        <w:adjustRightInd w:val="0"/>
        <w:snapToGrid w:val="0"/>
        <w:spacing w:before="0" w:after="0" w:line="579" w:lineRule="exact"/>
        <w:rPr>
          <w:rFonts w:ascii="楷体" w:eastAsia="楷体" w:cs="楷体" w:hAnsi="楷体"/>
          <w:b w:val="0"/>
          <w:bCs w:val="0"/>
          <w:sz w:val="32"/>
          <w:szCs w:val="32"/>
        </w:rPr>
      </w:pPr>
      <w:bookmarkStart w:id="126" w:name="_Toc907"/>
      <w:bookmarkStart w:id="127" w:name="_Toc31657"/>
      <w:bookmarkStart w:id="128" w:name="_Toc91709824"/>
      <w:bookmarkStart w:id="129" w:name="_Toc28026"/>
      <w:bookmarkStart w:id="130" w:name="_Toc15706"/>
      <w:r>
        <w:rPr>
          <w:rFonts w:ascii="楷体" w:eastAsia="楷体" w:cs="楷体" w:hAnsi="楷体" w:hint="eastAsia"/>
          <w:b w:val="0"/>
          <w:bCs w:val="0"/>
          <w:sz w:val="32"/>
          <w:szCs w:val="32"/>
        </w:rPr>
        <w:t>（一）设备安全性</w:t>
      </w:r>
      <w:bookmarkEnd w:id="126"/>
      <w:bookmarkEnd w:id="127"/>
      <w:bookmarkEnd w:id="128"/>
      <w:bookmarkEnd w:id="129"/>
      <w:bookmarkEnd w:id="130"/>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对车载终端设备的任何操作与控制均不应引起车辆设备损坏及相关电气故障。</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车载终端设备与外设连接后，不应对各自设备及工作特性造成影响和干扰。</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应在车载终端设备适当部位采用防护措施，防止如数据存储器等重要器件被更换或盗取。</w:t>
      </w:r>
    </w:p>
    <w:p>
      <w:pPr>
        <w:pStyle w:val="1"/>
        <w:overflowPunct w:val="0"/>
        <w:adjustRightInd w:val="0"/>
        <w:snapToGrid w:val="0"/>
        <w:spacing w:before="0" w:after="0" w:line="579" w:lineRule="exact"/>
        <w:rPr>
          <w:rFonts w:ascii="楷体" w:eastAsia="楷体" w:cs="楷体" w:hAnsi="楷体"/>
          <w:b w:val="0"/>
          <w:bCs w:val="0"/>
          <w:sz w:val="32"/>
          <w:szCs w:val="32"/>
        </w:rPr>
      </w:pPr>
      <w:bookmarkStart w:id="131" w:name="_Toc91709825"/>
      <w:bookmarkStart w:id="132" w:name="_Toc375"/>
      <w:bookmarkStart w:id="133" w:name="_Toc20673"/>
      <w:bookmarkStart w:id="134" w:name="_Toc22117"/>
      <w:bookmarkStart w:id="135" w:name="_Toc26154"/>
      <w:r>
        <w:rPr>
          <w:rFonts w:ascii="楷体" w:eastAsia="楷体" w:cs="楷体" w:hAnsi="楷体" w:hint="eastAsia"/>
          <w:b w:val="0"/>
          <w:bCs w:val="0"/>
          <w:sz w:val="32"/>
          <w:szCs w:val="32"/>
        </w:rPr>
        <w:t>（二）信息安全性</w:t>
      </w:r>
      <w:bookmarkEnd w:id="131"/>
      <w:bookmarkEnd w:id="132"/>
      <w:bookmarkEnd w:id="133"/>
      <w:bookmarkEnd w:id="134"/>
      <w:bookmarkEnd w:id="135"/>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车载终端设备应提供以下防止信息被恶意更改或删除的措施：</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通过外围设备不能对原始信息进行改写或删除；</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重要参数应为只读，不允许人为更改、删除；</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特殊情况下的原始信息或重要参数设置，需经授权操作。</w:t>
      </w:r>
      <w:bookmarkStart w:id="136" w:name="_Toc28963"/>
      <w:bookmarkStart w:id="137" w:name="_Toc420932306"/>
      <w:bookmarkStart w:id="138" w:name="_Toc31099"/>
      <w:bookmarkStart w:id="139" w:name="_Toc404583665"/>
      <w:bookmarkStart w:id="140" w:name="_Toc10803"/>
      <w:bookmarkStart w:id="141" w:name="_Toc11499"/>
      <w:bookmarkStart w:id="142" w:name="_Toc403462050"/>
      <w:bookmarkStart w:id="143" w:name="_Toc420932016"/>
      <w:bookmarkStart w:id="144" w:name="_Toc436227118"/>
      <w:bookmarkStart w:id="145" w:name="_Toc91709826"/>
      <w:bookmarkStart w:id="146" w:name="_Toc404583552"/>
      <w:r>
        <w:rPr>
          <w:rFonts w:ascii="仿宋" w:eastAsia="仿宋" w:cs="仿宋" w:hAnsi="仿宋" w:hint="eastAsia"/>
          <w:b w:val="0"/>
          <w:bCs w:val="0"/>
          <w:sz w:val="32"/>
          <w:szCs w:val="32"/>
        </w:rPr>
        <w:t>（三）</w:t>
      </w:r>
      <w:r>
        <w:rPr>
          <w:rFonts w:ascii="楷体" w:eastAsia="楷体" w:cs="楷体" w:hAnsi="楷体" w:hint="eastAsia"/>
          <w:b w:val="0"/>
          <w:bCs w:val="0"/>
          <w:sz w:val="32"/>
          <w:szCs w:val="32"/>
        </w:rPr>
        <w:t>可靠性</w:t>
      </w:r>
      <w:bookmarkEnd w:id="136"/>
      <w:bookmarkEnd w:id="137"/>
      <w:bookmarkEnd w:id="138"/>
      <w:bookmarkEnd w:id="139"/>
      <w:bookmarkEnd w:id="140"/>
      <w:bookmarkEnd w:id="141"/>
      <w:bookmarkEnd w:id="142"/>
      <w:bookmarkEnd w:id="143"/>
      <w:bookmarkEnd w:id="144"/>
      <w:bookmarkEnd w:id="145"/>
      <w:bookmarkEnd w:id="146"/>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bookmarkStart w:id="147" w:name="OLE_LINK5"/>
      <w:r>
        <w:rPr>
          <w:rFonts w:ascii="仿宋" w:eastAsia="仿宋" w:cs="仿宋" w:hAnsi="仿宋" w:hint="eastAsia"/>
          <w:b w:val="0"/>
          <w:bCs w:val="0"/>
          <w:sz w:val="32"/>
          <w:szCs w:val="32"/>
        </w:rPr>
        <w:t>应设计为24h持续稳定工作</w:t>
      </w:r>
      <w:bookmarkEnd w:id="147"/>
      <w:r>
        <w:rPr>
          <w:rFonts w:ascii="仿宋" w:eastAsia="仿宋" w:cs="仿宋" w:hAnsi="仿宋" w:hint="eastAsia"/>
          <w:b w:val="0"/>
          <w:bCs w:val="0"/>
          <w:sz w:val="32"/>
          <w:szCs w:val="32"/>
        </w:rPr>
        <w:t>，在正常运行时无需外部干预。突然断电后，已存储的数据不应出现丢失或修改现象。</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设计使用寿命应大于8年，</w:t>
      </w:r>
      <w:bookmarkStart w:id="148" w:name="OLE_LINK4"/>
      <w:r>
        <w:rPr>
          <w:rFonts w:ascii="仿宋" w:eastAsia="仿宋" w:cs="仿宋" w:hAnsi="仿宋" w:hint="eastAsia"/>
          <w:b w:val="0"/>
          <w:bCs w:val="0"/>
          <w:sz w:val="32"/>
          <w:szCs w:val="32"/>
        </w:rPr>
        <w:t>平均无故障时间(MTBF)应不小于3000h。</w:t>
      </w:r>
    </w:p>
    <w:p>
      <w:pPr>
        <w:pStyle w:val="1"/>
        <w:overflowPunct w:val="0"/>
        <w:adjustRightInd w:val="0"/>
        <w:snapToGrid w:val="0"/>
        <w:spacing w:before="0" w:after="0" w:line="579" w:lineRule="exact"/>
        <w:rPr>
          <w:rFonts w:ascii="楷体" w:eastAsia="楷体" w:cs="楷体" w:hAnsi="楷体"/>
          <w:b w:val="0"/>
          <w:bCs w:val="0"/>
          <w:sz w:val="32"/>
          <w:szCs w:val="32"/>
        </w:rPr>
      </w:pPr>
      <w:bookmarkStart w:id="149" w:name="_Toc404583666"/>
      <w:bookmarkStart w:id="150" w:name="_Toc403462051"/>
      <w:bookmarkStart w:id="151" w:name="_Toc16594"/>
      <w:bookmarkStart w:id="152" w:name="_Toc28602"/>
      <w:bookmarkStart w:id="153" w:name="_Toc91709827"/>
      <w:bookmarkStart w:id="154" w:name="_Toc420932307"/>
      <w:bookmarkStart w:id="155" w:name="_Toc4299"/>
      <w:bookmarkStart w:id="156" w:name="_Toc19063"/>
      <w:bookmarkStart w:id="157" w:name="_Toc404583553"/>
      <w:bookmarkStart w:id="158" w:name="_Toc420932017"/>
      <w:bookmarkStart w:id="159" w:name="_Toc436227119"/>
      <w:bookmarkStart w:id="160" w:name="_Toc362621242"/>
      <w:bookmarkStart w:id="161" w:name="_Toc362620279"/>
      <w:bookmarkStart w:id="162" w:name="_Toc362612489"/>
      <w:bookmarkEnd w:id="148"/>
      <w:r>
        <w:rPr>
          <w:rFonts w:ascii="楷体" w:eastAsia="楷体" w:cs="楷体" w:hAnsi="楷体" w:hint="eastAsia"/>
          <w:b w:val="0"/>
          <w:bCs w:val="0"/>
          <w:sz w:val="32"/>
          <w:szCs w:val="32"/>
        </w:rPr>
        <w:t>（四）防护性</w:t>
      </w:r>
      <w:bookmarkEnd w:id="149"/>
      <w:bookmarkEnd w:id="150"/>
      <w:bookmarkEnd w:id="151"/>
      <w:bookmarkEnd w:id="152"/>
      <w:bookmarkEnd w:id="153"/>
      <w:bookmarkEnd w:id="154"/>
      <w:bookmarkEnd w:id="155"/>
      <w:bookmarkEnd w:id="156"/>
      <w:bookmarkEnd w:id="157"/>
      <w:bookmarkEnd w:id="158"/>
      <w:bookmarkEnd w:id="159"/>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当主机不包含显示屏、读卡器时，机壳防护满足</w:t>
      </w:r>
      <w:bookmarkStart w:id="163" w:name="_Hlk216202405"/>
      <w:r>
        <w:rPr>
          <w:rFonts w:ascii="仿宋" w:eastAsia="仿宋" w:cs="仿宋" w:hAnsi="仿宋" w:hint="eastAsia"/>
          <w:b w:val="0"/>
          <w:bCs w:val="0"/>
          <w:sz w:val="32"/>
          <w:szCs w:val="32"/>
        </w:rPr>
        <w:t>GB/T4208</w:t>
      </w:r>
      <w:bookmarkEnd w:id="163"/>
      <w:r>
        <w:rPr>
          <w:rFonts w:ascii="仿宋" w:eastAsia="仿宋" w:cs="仿宋" w:hAnsi="仿宋" w:hint="eastAsia"/>
          <w:b w:val="0"/>
          <w:bCs w:val="0"/>
          <w:sz w:val="32"/>
          <w:szCs w:val="32"/>
        </w:rPr>
        <w:t>中IP53的等级要求；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当主机包含显示器、读卡器等设备或其中之一时，机壳防护满足GB/T4208中IP43的等级要求。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外露接插件应装有防水塑胶套等或采取其他措施，具有防泼溅、淋水、渗水能力。</w:t>
      </w:r>
      <w:bookmarkStart w:id="164" w:name="_Toc11633"/>
      <w:bookmarkStart w:id="165" w:name="_Toc7119"/>
      <w:bookmarkStart w:id="166" w:name="_Toc27954"/>
      <w:bookmarkStart w:id="167" w:name="_Toc15057"/>
      <w:bookmarkStart w:id="168" w:name="_Toc91709828"/>
      <w:bookmarkStart w:id="169" w:name="_Toc403462052"/>
      <w:bookmarkStart w:id="170" w:name="_Toc404583667"/>
      <w:bookmarkStart w:id="171" w:name="_Toc404583554"/>
      <w:bookmarkStart w:id="172" w:name="_Toc436227120"/>
      <w:bookmarkStart w:id="173" w:name="_Toc420932308"/>
      <w:bookmarkStart w:id="174" w:name="_Toc420932018"/>
    </w:p>
    <w:p>
      <w:pPr>
        <w:pStyle w:val="1"/>
        <w:overflowPunct w:val="0"/>
        <w:adjustRightInd w:val="0"/>
        <w:snapToGrid w:val="0"/>
        <w:spacing w:before="0" w:after="0" w:line="579" w:lineRule="exact"/>
        <w:rPr>
          <w:rFonts w:ascii="黑体" w:eastAsia="黑体" w:cs="黑体" w:hAnsi="黑体"/>
          <w:b w:val="0"/>
          <w:bCs w:val="0"/>
          <w:sz w:val="32"/>
          <w:szCs w:val="32"/>
        </w:rPr>
      </w:pPr>
      <w:r>
        <w:rPr>
          <w:rFonts w:ascii="黑体" w:eastAsia="黑体" w:cs="黑体" w:hAnsi="黑体" w:hint="eastAsia"/>
          <w:b w:val="0"/>
          <w:bCs w:val="0"/>
          <w:sz w:val="32"/>
          <w:szCs w:val="32"/>
        </w:rPr>
        <w:t>三、车载终端设备</w:t>
      </w:r>
      <w:bookmarkEnd w:id="164"/>
      <w:bookmarkEnd w:id="165"/>
      <w:bookmarkEnd w:id="166"/>
      <w:bookmarkEnd w:id="167"/>
      <w:bookmarkEnd w:id="168"/>
    </w:p>
    <w:p>
      <w:pPr>
        <w:pStyle w:val="1"/>
        <w:overflowPunct w:val="0"/>
        <w:adjustRightInd w:val="0"/>
        <w:snapToGrid w:val="0"/>
        <w:spacing w:before="0" w:after="0" w:line="579" w:lineRule="exact"/>
        <w:rPr>
          <w:rFonts w:ascii="楷体" w:eastAsia="楷体" w:cs="楷体" w:hAnsi="楷体"/>
          <w:b w:val="0"/>
          <w:bCs w:val="0"/>
          <w:sz w:val="32"/>
          <w:szCs w:val="32"/>
        </w:rPr>
      </w:pPr>
      <w:bookmarkStart w:id="175" w:name="_Toc30990"/>
      <w:bookmarkStart w:id="176" w:name="_Toc28876"/>
      <w:bookmarkStart w:id="177" w:name="_Toc19606"/>
      <w:bookmarkStart w:id="178" w:name="_Toc91709830"/>
      <w:bookmarkStart w:id="179" w:name="_Toc16041"/>
      <w:r>
        <w:rPr>
          <w:rFonts w:ascii="楷体" w:eastAsia="楷体" w:cs="楷体" w:hAnsi="楷体" w:hint="eastAsia"/>
          <w:b w:val="0"/>
          <w:bCs w:val="0"/>
          <w:sz w:val="32"/>
          <w:szCs w:val="32"/>
        </w:rPr>
        <w:t>（一）功能组成</w:t>
      </w:r>
      <w:bookmarkEnd w:id="175"/>
      <w:bookmarkEnd w:id="176"/>
      <w:bookmarkEnd w:id="177"/>
      <w:bookmarkEnd w:id="178"/>
      <w:bookmarkEnd w:id="179"/>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车载终端设备应包括微处理器、存储器、电气接口及其附属电路、实时时钟、北斗卫星定位模块、通信传输模块、车辆状态信息采集模块等，同时满足以下要求：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存储器分为程序存储器和数据存储器。程序存储器应满足固件当前及未来更新、扩展的空间需求。数据存储器应为非易失性存储器。无线传输异常时，应支持实时数据的本地存储；</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视频采集应至少同时支持2个通道，音频采集应至少支持一路；</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通信功能应支持3G/4G无线通信网络传输机制下的多种通信模式；</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应采用北斗定位模式；</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应支持内置法拉电容或在车辆ACC点火装置关闭后，车载终端设备能够支持延迟断电，保证视频数据不会丢失；</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音视频存储应支持1张存储卡，单张不小于512G存储容量</w:t>
      </w:r>
      <w:bookmarkStart w:id="180" w:name="_Toc23377"/>
      <w:bookmarkStart w:id="181" w:name="_Toc6060"/>
      <w:bookmarkStart w:id="182" w:name="_Toc13669"/>
      <w:bookmarkStart w:id="183" w:name="_Toc1749"/>
      <w:r>
        <w:rPr>
          <w:rFonts w:ascii="仿宋" w:eastAsia="仿宋" w:cs="仿宋" w:hAnsi="仿宋" w:hint="eastAsia"/>
          <w:b w:val="0"/>
          <w:bCs w:val="0"/>
          <w:sz w:val="32"/>
          <w:szCs w:val="32"/>
        </w:rPr>
        <w:t>。</w:t>
      </w:r>
    </w:p>
    <w:p>
      <w:pPr>
        <w:pStyle w:val="1"/>
        <w:overflowPunct w:val="0"/>
        <w:adjustRightInd w:val="0"/>
        <w:snapToGrid w:val="0"/>
        <w:spacing w:before="0" w:after="0" w:line="579" w:lineRule="exact"/>
        <w:rPr>
          <w:rFonts w:ascii="楷体" w:eastAsia="楷体" w:cs="楷体" w:hAnsi="楷体"/>
          <w:b w:val="0"/>
          <w:bCs w:val="0"/>
          <w:sz w:val="32"/>
          <w:szCs w:val="32"/>
        </w:rPr>
      </w:pPr>
      <w:bookmarkStart w:id="184" w:name="_Toc91709831"/>
      <w:r>
        <w:rPr>
          <w:rFonts w:ascii="楷体" w:eastAsia="楷体" w:cs="楷体" w:hAnsi="楷体" w:hint="eastAsia"/>
          <w:b w:val="0"/>
          <w:bCs w:val="0"/>
          <w:sz w:val="32"/>
          <w:szCs w:val="32"/>
        </w:rPr>
        <w:t>（二）对外接口</w:t>
      </w:r>
      <w:bookmarkEnd w:id="180"/>
      <w:bookmarkEnd w:id="181"/>
      <w:bookmarkEnd w:id="182"/>
      <w:bookmarkEnd w:id="183"/>
      <w:bookmarkEnd w:id="184"/>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车载终端设备应为基本外设提供接口并为扩展外设预留接口，至少满足以下要求：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RS232接口：≥1个，USB接口：≥1个，用于记录数据的导出或设备维护。</w:t>
      </w:r>
    </w:p>
    <w:p>
      <w:pPr>
        <w:pStyle w:val="1"/>
        <w:overflowPunct w:val="0"/>
        <w:adjustRightInd w:val="0"/>
        <w:snapToGrid w:val="0"/>
        <w:spacing w:before="0" w:after="0" w:line="579" w:lineRule="exact"/>
        <w:rPr>
          <w:rFonts w:ascii="楷体" w:eastAsia="楷体" w:cs="楷体" w:hAnsi="楷体"/>
          <w:b w:val="0"/>
          <w:bCs w:val="0"/>
          <w:sz w:val="32"/>
          <w:szCs w:val="32"/>
        </w:rPr>
      </w:pPr>
      <w:bookmarkStart w:id="185" w:name="_Toc420932023"/>
      <w:bookmarkStart w:id="186" w:name="_Toc403462057"/>
      <w:bookmarkStart w:id="187" w:name="_Toc436227125"/>
      <w:bookmarkStart w:id="188" w:name="_Toc27745"/>
      <w:bookmarkStart w:id="189" w:name="_Toc420932313"/>
      <w:bookmarkStart w:id="190" w:name="_Toc5677"/>
      <w:bookmarkStart w:id="191" w:name="_Toc91709832"/>
      <w:bookmarkStart w:id="192" w:name="_Toc404583559"/>
      <w:bookmarkStart w:id="193" w:name="_Toc27384"/>
      <w:bookmarkStart w:id="194" w:name="_Toc20219"/>
      <w:bookmarkStart w:id="195" w:name="_Toc404583672"/>
      <w:r>
        <w:rPr>
          <w:rFonts w:ascii="楷体" w:eastAsia="楷体" w:cs="楷体" w:hAnsi="楷体" w:hint="eastAsia"/>
          <w:b w:val="0"/>
          <w:bCs w:val="0"/>
          <w:sz w:val="32"/>
          <w:szCs w:val="32"/>
        </w:rPr>
        <w:t>（三）外观</w:t>
      </w:r>
      <w:bookmarkEnd w:id="185"/>
      <w:bookmarkEnd w:id="186"/>
      <w:bookmarkEnd w:id="187"/>
      <w:bookmarkEnd w:id="188"/>
      <w:bookmarkEnd w:id="189"/>
      <w:bookmarkEnd w:id="190"/>
      <w:bookmarkEnd w:id="191"/>
      <w:bookmarkEnd w:id="192"/>
      <w:bookmarkEnd w:id="193"/>
      <w:bookmarkEnd w:id="194"/>
      <w:bookmarkEnd w:id="195"/>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产品表面应无锈蚀、锈斑、裂纹、污迹、变形，镀涂层不应有起泡、龟裂、脱落，无明显划痕、毛剌，各组件表面应平整、光洁、无尖锐突出部；结构件与控制组件应完整，无机械损伤。</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零部件应紧固无松动，接插件应配合良好。重要连接应选用具有专用螺纹的紧固件，并施加有效保护措施以避免人为轻易地拔、剪等损坏性操作。</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终端应有使用说明。产品的接口等部位应有文字、图形等标志，且满足耐久、醒目等要求，使用说明和标志中的文字应使用中文，根据需要也可以同时使用其它语言，但应保证中文在其它语言的上面（或左面）。</w:t>
      </w:r>
    </w:p>
    <w:p>
      <w:pPr>
        <w:pStyle w:val="1"/>
        <w:overflowPunct w:val="0"/>
        <w:adjustRightInd w:val="0"/>
        <w:snapToGrid w:val="0"/>
        <w:spacing w:before="0" w:after="0" w:line="579" w:lineRule="exact"/>
        <w:rPr>
          <w:rFonts w:ascii="楷体" w:eastAsia="楷体" w:cs="楷体" w:hAnsi="楷体"/>
          <w:b w:val="0"/>
          <w:bCs w:val="0"/>
          <w:sz w:val="32"/>
          <w:szCs w:val="32"/>
        </w:rPr>
      </w:pPr>
      <w:bookmarkStart w:id="196" w:name="_Toc4251"/>
      <w:bookmarkStart w:id="197" w:name="_Toc91709833"/>
      <w:bookmarkStart w:id="198" w:name="_Toc420932024"/>
      <w:bookmarkStart w:id="199" w:name="_Toc403462058"/>
      <w:bookmarkStart w:id="200" w:name="_Toc404583560"/>
      <w:bookmarkStart w:id="201" w:name="_Toc14497"/>
      <w:bookmarkStart w:id="202" w:name="_Toc436227126"/>
      <w:bookmarkStart w:id="203" w:name="_Toc6540"/>
      <w:bookmarkStart w:id="204" w:name="_Toc420932314"/>
      <w:bookmarkStart w:id="205" w:name="_Toc381"/>
      <w:bookmarkStart w:id="206" w:name="_Toc404583673"/>
      <w:bookmarkStart w:id="207" w:name="_Toc361924491"/>
      <w:bookmarkStart w:id="208" w:name="_Toc337922815"/>
      <w:bookmarkStart w:id="209" w:name="_Ref332210292"/>
      <w:bookmarkStart w:id="210" w:name="_Toc339350837"/>
      <w:r>
        <w:rPr>
          <w:rFonts w:ascii="楷体" w:eastAsia="楷体" w:cs="楷体" w:hAnsi="楷体" w:hint="eastAsia"/>
          <w:b w:val="0"/>
          <w:bCs w:val="0"/>
          <w:sz w:val="32"/>
          <w:szCs w:val="32"/>
        </w:rPr>
        <w:t>（四）尺寸</w:t>
      </w:r>
      <w:bookmarkEnd w:id="196"/>
      <w:bookmarkEnd w:id="197"/>
      <w:bookmarkEnd w:id="198"/>
      <w:bookmarkEnd w:id="199"/>
      <w:bookmarkEnd w:id="200"/>
      <w:bookmarkEnd w:id="201"/>
      <w:bookmarkEnd w:id="202"/>
      <w:bookmarkEnd w:id="203"/>
      <w:bookmarkEnd w:id="204"/>
      <w:bookmarkEnd w:id="205"/>
      <w:bookmarkEnd w:id="206"/>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车载终端设备外形尺寸应设计合理，避免遮挡司机视线，影响驾驶安全。</w:t>
      </w:r>
    </w:p>
    <w:p>
      <w:pPr>
        <w:pStyle w:val="1"/>
        <w:overflowPunct w:val="0"/>
        <w:adjustRightInd w:val="0"/>
        <w:snapToGrid w:val="0"/>
        <w:spacing w:before="0" w:after="0" w:line="579" w:lineRule="exact"/>
        <w:rPr>
          <w:rFonts w:ascii="楷体" w:eastAsia="楷体" w:cs="楷体" w:hAnsi="楷体"/>
          <w:b w:val="0"/>
          <w:bCs w:val="0"/>
          <w:sz w:val="32"/>
          <w:szCs w:val="32"/>
        </w:rPr>
      </w:pPr>
      <w:bookmarkStart w:id="211" w:name="_Toc91709834"/>
      <w:r>
        <w:rPr>
          <w:rFonts w:ascii="楷体" w:eastAsia="楷体" w:cs="楷体" w:hAnsi="楷体" w:hint="eastAsia"/>
          <w:b w:val="0"/>
          <w:bCs w:val="0"/>
          <w:sz w:val="32"/>
          <w:szCs w:val="32"/>
        </w:rPr>
        <w:t>（五）存储</w:t>
      </w:r>
      <w:bookmarkEnd w:id="211"/>
    </w:p>
    <w:p>
      <w:pPr>
        <w:pStyle w:val="1"/>
        <w:overflowPunct w:val="0"/>
        <w:adjustRightInd w:val="0"/>
        <w:snapToGrid w:val="0"/>
        <w:spacing w:before="0" w:after="0" w:line="579" w:lineRule="exact"/>
        <w:ind w:firstLineChars="200" w:firstLine="640"/>
        <w:jc w:val="both"/>
        <w:rPr>
          <w:rFonts w:ascii="仿宋" w:eastAsia="仿宋" w:cs="仿宋" w:hAnsi="仿宋"/>
          <w:b w:val="0"/>
          <w:bCs w:val="0"/>
          <w:sz w:val="32"/>
          <w:szCs w:val="32"/>
        </w:rPr>
      </w:pPr>
      <w:r>
        <w:rPr>
          <w:rFonts w:ascii="仿宋" w:eastAsia="仿宋" w:cs="仿宋" w:hAnsi="仿宋" w:hint="eastAsia"/>
          <w:b w:val="0"/>
          <w:bCs w:val="0"/>
          <w:sz w:val="32"/>
          <w:szCs w:val="32"/>
        </w:rPr>
        <w:t>车载终端须配置存储介质，存储介质容量不低于 512GB，且应完成与车载终端的联调测试，确保满足数据存储相关技术要求。</w:t>
      </w:r>
    </w:p>
    <w:p>
      <w:pPr>
        <w:pStyle w:val="3"/>
        <w:keepNext/>
        <w:keepLines/>
        <w:widowControl w:val="0"/>
        <w:overflowPunct w:val="0"/>
        <w:adjustRightInd w:val="0"/>
        <w:snapToGrid w:val="0"/>
        <w:spacing w:before="0" w:after="0" w:line="579" w:lineRule="exact"/>
        <w:ind w:left="-573" w:firstLineChars="200" w:firstLine="640"/>
        <w:jc w:val="both"/>
        <w:rPr>
          <w:rFonts w:ascii="楷体" w:eastAsia="楷体" w:cs="楷体" w:hAnsi="楷体"/>
          <w:b w:val="0"/>
          <w:bCs w:val="0"/>
          <w:sz w:val="32"/>
          <w:szCs w:val="32"/>
        </w:rPr>
      </w:pPr>
      <w:bookmarkStart w:id="212" w:name="_Toc32088"/>
      <w:bookmarkStart w:id="213" w:name="_Toc91709836"/>
      <w:bookmarkStart w:id="214" w:name="_Toc25558"/>
      <w:bookmarkStart w:id="215" w:name="_Toc18395"/>
      <w:bookmarkStart w:id="216" w:name="_Toc4217"/>
      <w:bookmarkEnd w:id="207"/>
      <w:bookmarkEnd w:id="208"/>
      <w:bookmarkEnd w:id="209"/>
      <w:bookmarkEnd w:id="210"/>
      <w:r>
        <w:rPr>
          <w:rFonts w:ascii="楷体" w:eastAsia="楷体" w:cs="楷体" w:hAnsi="楷体" w:hint="eastAsia"/>
          <w:b w:val="0"/>
          <w:bCs w:val="0"/>
          <w:sz w:val="32"/>
          <w:szCs w:val="32"/>
        </w:rPr>
        <w:t>（六）开启</w:t>
      </w:r>
      <w:bookmarkEnd w:id="212"/>
      <w:bookmarkEnd w:id="213"/>
      <w:bookmarkEnd w:id="214"/>
      <w:bookmarkEnd w:id="215"/>
      <w:bookmarkEnd w:id="216"/>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应支持电源检测，当车辆主电源开启后自动开启，支持自动重启和由平台控制的远程重启。</w:t>
      </w:r>
    </w:p>
    <w:p>
      <w:pPr>
        <w:pStyle w:val="1"/>
        <w:overflowPunct w:val="0"/>
        <w:adjustRightInd w:val="0"/>
        <w:snapToGrid w:val="0"/>
        <w:spacing w:before="0" w:after="0" w:line="579" w:lineRule="exact"/>
        <w:rPr>
          <w:rFonts w:ascii="楷体" w:eastAsia="楷体" w:cs="楷体" w:hAnsi="楷体"/>
          <w:b w:val="0"/>
          <w:bCs w:val="0"/>
          <w:sz w:val="32"/>
          <w:szCs w:val="32"/>
        </w:rPr>
      </w:pPr>
      <w:bookmarkStart w:id="217" w:name="_Toc8199"/>
      <w:bookmarkStart w:id="218" w:name="_Toc16086"/>
      <w:bookmarkStart w:id="219" w:name="_Toc20738"/>
      <w:bookmarkStart w:id="220" w:name="_Toc7543"/>
      <w:bookmarkStart w:id="221" w:name="_Toc91709837"/>
      <w:r>
        <w:rPr>
          <w:rFonts w:ascii="楷体" w:eastAsia="楷体" w:cs="楷体" w:hAnsi="楷体" w:hint="eastAsia"/>
          <w:b w:val="0"/>
          <w:bCs w:val="0"/>
          <w:sz w:val="32"/>
          <w:szCs w:val="32"/>
        </w:rPr>
        <w:t>（七）自检</w:t>
      </w:r>
      <w:bookmarkEnd w:id="217"/>
      <w:bookmarkEnd w:id="218"/>
      <w:bookmarkEnd w:id="219"/>
      <w:bookmarkEnd w:id="220"/>
      <w:bookmarkEnd w:id="221"/>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应具备自检功能。设备开机、重启及平台下发相应指令时应进行自检，生成自检报告并上传至平台。出现故障能判断主要故障类型，并通过信号灯表示当前主要状态。自检项目应至少包括：</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电源状态；</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设备状态：摄像机等相关设备状态；</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工作状态：卫星定位状态、无线通信状态。</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22" w:name="_Toc91709838"/>
      <w:bookmarkStart w:id="223" w:name="_Toc1847"/>
      <w:bookmarkStart w:id="224" w:name="_Toc4086"/>
      <w:bookmarkStart w:id="225" w:name="_Toc21161"/>
      <w:bookmarkStart w:id="226" w:name="_Toc2910"/>
      <w:r>
        <w:rPr>
          <w:rFonts w:ascii="黑体" w:eastAsia="黑体" w:cs="黑体" w:hAnsi="黑体" w:hint="eastAsia"/>
          <w:b w:val="0"/>
          <w:bCs w:val="0"/>
          <w:sz w:val="32"/>
          <w:szCs w:val="32"/>
        </w:rPr>
        <w:t>四、定位功能</w:t>
      </w:r>
      <w:bookmarkEnd w:id="222"/>
      <w:bookmarkEnd w:id="223"/>
      <w:bookmarkEnd w:id="224"/>
      <w:bookmarkEnd w:id="225"/>
      <w:bookmarkEnd w:id="226"/>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定位功能应满足以下要求：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应提供实时时间、经度、纬度、速度、高程和方向等定位状态信息，可存储到本地，同时通过无线通信方式上传至平台；</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支持位置报告信息的盲区补报，当无法注册到所在地的无线网络时，应以先进先出方式本地至少缓存10000笔位置汇报信息，至注册到无线网络时一并传送。当保存数据超过最大容量，按时间顺序依次作丢弃处理；</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当车辆熄火后，终端处于休眠状态时，应以一定间隔上传定位信息，且时间、距离的间隔可由平台设定。</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定位功能应符合以下技术要求：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1）定时报送：在行驶状态下，最小报送时间间隔不大于5s，最大报送时间间隔不大于30s；</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2）定距报送：在行驶状态下，最小报送距离不大于100m，最大报送距离不大于500m；</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3）定时定距报送：在行驶状态下，终端可按平台设置的时间、距离间隔上报定位数据；</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4）实时定位：从终端收到平台下发的实时定位请求到终端应答，时间不大于10s。</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27" w:name="_Toc11297"/>
      <w:bookmarkStart w:id="228" w:name="_Toc21296"/>
      <w:bookmarkStart w:id="229" w:name="_Toc8482"/>
      <w:bookmarkStart w:id="230" w:name="_Toc13739"/>
      <w:bookmarkStart w:id="231" w:name="_Toc91709839"/>
      <w:r>
        <w:rPr>
          <w:rFonts w:ascii="黑体" w:eastAsia="黑体" w:cs="黑体" w:hAnsi="黑体" w:hint="eastAsia"/>
          <w:b w:val="0"/>
          <w:bCs w:val="0"/>
          <w:sz w:val="32"/>
          <w:szCs w:val="32"/>
        </w:rPr>
        <w:t>五、视频功能</w:t>
      </w:r>
      <w:bookmarkEnd w:id="227"/>
      <w:bookmarkEnd w:id="228"/>
      <w:bookmarkEnd w:id="229"/>
      <w:bookmarkEnd w:id="230"/>
      <w:bookmarkEnd w:id="231"/>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a）应具有音视频信息采集、压缩、存储、远程调用及检索上传功能，支持通过USB接口或存储卡导出视频数据。</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b）音视频信息采集应满足以下技术要求：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至少支持2路摄像头同时录制以及独立录制；</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至少支持2路摄像头可分别设置多种成像分辨率，至少应支持1280</w:t>
      </w:r>
      <w:bookmarkStart w:id="232" w:name="OLE_LINK6"/>
      <w:r>
        <w:rPr>
          <w:rFonts w:ascii="仿宋" w:eastAsia="仿宋" w:cs="仿宋" w:hAnsi="仿宋" w:hint="eastAsia"/>
          <w:b w:val="0"/>
          <w:bCs w:val="0"/>
          <w:sz w:val="32"/>
          <w:szCs w:val="32"/>
        </w:rPr>
        <w:t>*</w:t>
      </w:r>
      <w:bookmarkEnd w:id="232"/>
      <w:r>
        <w:rPr>
          <w:rFonts w:ascii="仿宋" w:eastAsia="仿宋" w:cs="仿宋" w:hAnsi="仿宋" w:hint="eastAsia"/>
          <w:b w:val="0"/>
          <w:bCs w:val="0"/>
          <w:sz w:val="32"/>
          <w:szCs w:val="32"/>
        </w:rPr>
        <w:t>720；</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视频采集编码格式应为H.264或H.265；</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存储方式：存储于车载终端设备数据存储器中；</w:t>
      </w:r>
    </w:p>
    <w:p>
      <w:pPr>
        <w:pStyle w:val="1"/>
        <w:overflowPunct w:val="0"/>
        <w:adjustRightInd w:val="0"/>
        <w:snapToGrid w:val="0"/>
        <w:spacing w:before="0" w:after="0" w:line="579" w:lineRule="exact"/>
        <w:ind w:firstLineChars="200" w:firstLine="640"/>
        <w:jc w:val="both"/>
        <w:rPr>
          <w:rFonts w:ascii="仿宋" w:eastAsia="仿宋" w:cs="仿宋" w:hAnsi="仿宋"/>
          <w:b w:val="0"/>
          <w:bCs w:val="0"/>
          <w:sz w:val="32"/>
          <w:szCs w:val="32"/>
        </w:rPr>
      </w:pPr>
      <w:bookmarkStart w:id="233" w:name="OLE_LINK1"/>
      <w:r>
        <w:rPr>
          <w:rFonts w:ascii="仿宋" w:eastAsia="仿宋" w:cs="仿宋" w:hAnsi="仿宋" w:hint="eastAsia"/>
          <w:b w:val="0"/>
          <w:bCs w:val="0"/>
          <w:sz w:val="32"/>
          <w:szCs w:val="32"/>
        </w:rPr>
        <w:t>存储容量：车外视频及车内视频分辨率均不低于1280*720（720P），车外视频、车内视频存储时长均不少于7*24 小时，确保数据完整留存；</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bookmarkEnd w:id="233"/>
      <w:r>
        <w:rPr>
          <w:rFonts w:ascii="仿宋" w:eastAsia="仿宋" w:cs="仿宋" w:hAnsi="仿宋" w:hint="eastAsia"/>
          <w:b w:val="0"/>
          <w:bCs w:val="0"/>
          <w:sz w:val="32"/>
          <w:szCs w:val="32"/>
        </w:rPr>
        <w:t>支持对视频数据添加和删除标记，有标记的视频不允许被覆盖。</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34" w:name="_Toc9167"/>
      <w:bookmarkStart w:id="235" w:name="_Toc1393"/>
      <w:bookmarkStart w:id="236" w:name="_Toc9446"/>
      <w:bookmarkStart w:id="237" w:name="_Toc16236"/>
      <w:bookmarkStart w:id="238" w:name="_Toc91709840"/>
      <w:r>
        <w:rPr>
          <w:rFonts w:ascii="黑体" w:eastAsia="黑体" w:cs="黑体" w:hAnsi="黑体" w:hint="eastAsia"/>
          <w:b w:val="0"/>
          <w:bCs w:val="0"/>
          <w:sz w:val="32"/>
          <w:szCs w:val="32"/>
        </w:rPr>
        <w:t>六、图像功能</w:t>
      </w:r>
      <w:bookmarkEnd w:id="234"/>
      <w:bookmarkEnd w:id="235"/>
      <w:bookmarkEnd w:id="236"/>
      <w:bookmarkEnd w:id="237"/>
      <w:bookmarkEnd w:id="238"/>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bookmarkStart w:id="239" w:name="OLE_LINK2"/>
      <w:r>
        <w:rPr>
          <w:rFonts w:ascii="仿宋" w:eastAsia="仿宋" w:cs="仿宋" w:hAnsi="仿宋" w:hint="eastAsia"/>
          <w:b w:val="0"/>
          <w:bCs w:val="0"/>
          <w:sz w:val="32"/>
          <w:szCs w:val="32"/>
        </w:rPr>
        <w:t>a)应具有图片信息采集及存储功能:</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支持平台控制、定时和事件触发方式实现图像信息的采集、存储、上传及检索上传功能；</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支持通过USB接口对图像信息的导出。</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b）图像信息采集应满足以下技术要求：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至少支持2路摄像头</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设置至少两种成像分辨率,最高分辨率不低于 720P,最低分辨率不低于 D1；</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 xml:space="preserve">至少支持以JPEG格式存储图像； </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存储容量：以先进先出方式至少存储2000张图像；</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支持对图像数据标记，该类图像不应被覆盖。</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40" w:name="_Toc30320"/>
      <w:bookmarkStart w:id="241" w:name="_Toc28075"/>
      <w:bookmarkStart w:id="242" w:name="_Toc91709841"/>
      <w:bookmarkStart w:id="243" w:name="_Toc28261"/>
      <w:bookmarkStart w:id="244" w:name="_Toc23276"/>
      <w:r>
        <w:rPr>
          <w:rFonts w:ascii="黑体" w:eastAsia="黑体" w:cs="黑体" w:hAnsi="黑体" w:hint="eastAsia"/>
          <w:b w:val="0"/>
          <w:bCs w:val="0"/>
          <w:sz w:val="32"/>
          <w:szCs w:val="32"/>
        </w:rPr>
        <w:t>七、对讲监听</w:t>
      </w:r>
      <w:bookmarkEnd w:id="240"/>
      <w:bookmarkEnd w:id="241"/>
      <w:bookmarkEnd w:id="242"/>
      <w:bookmarkEnd w:id="243"/>
      <w:bookmarkEnd w:id="244"/>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应支持远程中心与车载终端设备通过对讲与监听功能实现远程联系，并满足以下要求：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平台下发对讲指令，中心人员与驾驶员可以互相通话；</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平台下发监听指令，中心人员可以听到车内情况，车载终端不应有任何表现，监听时扬声器应关闭。</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45" w:name="_Toc1500"/>
      <w:bookmarkStart w:id="246" w:name="_Toc17904"/>
      <w:bookmarkStart w:id="247" w:name="_Toc14764"/>
      <w:bookmarkStart w:id="248" w:name="_Toc30595"/>
      <w:bookmarkStart w:id="249" w:name="_Toc91709842"/>
      <w:r>
        <w:rPr>
          <w:rFonts w:ascii="黑体" w:eastAsia="黑体" w:cs="黑体" w:hAnsi="黑体" w:hint="eastAsia"/>
          <w:b w:val="0"/>
          <w:bCs w:val="0"/>
          <w:sz w:val="32"/>
          <w:szCs w:val="32"/>
        </w:rPr>
        <w:t>八、警示提醒</w:t>
      </w:r>
      <w:bookmarkEnd w:id="245"/>
      <w:bookmarkEnd w:id="246"/>
      <w:bookmarkEnd w:id="247"/>
      <w:bookmarkEnd w:id="248"/>
      <w:bookmarkEnd w:id="249"/>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应支持平台设置对主要参数、数据、状态等进行监控，判断异常并进行报警与警示。触发警示时应向平台上传警示信息，能够接收平台指令取消警示。</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警示功能分为人工报警与自动警示：</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a）人工报警是驾驶员根据现场实际情况触发的报警，当发生紧急情况，驾驶员通过触动人工报警按钮向平台报警。按下报警按钮时，立即向中心发出报警信息，并自动录制视频信息，定时拍摄图片信息。平台可根据具体情况选择启动音视频数据实时无线传输或语音监控。当平台下发指令后，人工报警应结束。</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b）自动警示是驾驶员无需进行任何操作，根据设备预置或平台设置条件触发，应包括：</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超速警示：可根据预设的速度阈值，如车辆到达预设限速值，将车辆超速信息发送到平台；</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区域警示：应存储有不少于24个多边形或圆形区域，当车辆驶入禁入区域或驶出禁出区域时触发，监控区域可由平台远程设置；同时可以设定区域速度阈值，进行区域超速管理；</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电瓶欠压警示：检测车辆电瓶电压低于预设值时触发，同时终端须停止从车辆电瓶取电；</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设备故障警示：当车载终端设备及与车载终端设备连接的外部设备工作异常时触发。</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50" w:name="_Toc695"/>
      <w:bookmarkStart w:id="251" w:name="_Toc27075"/>
      <w:bookmarkStart w:id="252" w:name="_Toc22957"/>
      <w:bookmarkStart w:id="253" w:name="_Toc13701"/>
      <w:bookmarkStart w:id="254" w:name="_Toc91709843"/>
      <w:r>
        <w:rPr>
          <w:rFonts w:ascii="黑体" w:eastAsia="黑体" w:cs="黑体" w:hAnsi="黑体" w:hint="eastAsia"/>
          <w:b w:val="0"/>
          <w:bCs w:val="0"/>
          <w:sz w:val="32"/>
          <w:szCs w:val="32"/>
        </w:rPr>
        <w:t>九、设备维护管理</w:t>
      </w:r>
      <w:bookmarkEnd w:id="250"/>
      <w:bookmarkEnd w:id="251"/>
      <w:bookmarkEnd w:id="252"/>
      <w:bookmarkEnd w:id="253"/>
      <w:bookmarkEnd w:id="254"/>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维护管理功能应满足以下要求：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以远程、本地（串口或USB口）等方式对车载终端设备进行维护、管理、设置/查询参数和固件升级；</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控制终端复位及恢复出厂设置；</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应具备升级保护功能，在升级文件包数据传输异常时应支持断点续传功能，并在执行升级时车辆电源等不稳定的情况下，车载终端设备应该自行防护，可自行修复至前一版本。</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宜尽量集成通讯天线等内置在主机内部，方便安装和后续维护。</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55" w:name="_Toc28604"/>
      <w:bookmarkStart w:id="256" w:name="_Toc6299"/>
      <w:bookmarkStart w:id="257" w:name="_Toc91709844"/>
      <w:bookmarkStart w:id="258" w:name="_Toc28391"/>
      <w:bookmarkStart w:id="259" w:name="_Toc20476"/>
      <w:r>
        <w:rPr>
          <w:rFonts w:ascii="黑体" w:eastAsia="黑体" w:cs="黑体" w:hAnsi="黑体" w:hint="eastAsia"/>
          <w:b w:val="0"/>
          <w:bCs w:val="0"/>
          <w:sz w:val="32"/>
          <w:szCs w:val="32"/>
        </w:rPr>
        <w:t>十、多中心上报</w:t>
      </w:r>
      <w:bookmarkEnd w:id="255"/>
      <w:bookmarkEnd w:id="256"/>
      <w:bookmarkEnd w:id="257"/>
      <w:bookmarkEnd w:id="258"/>
      <w:bookmarkEnd w:id="259"/>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应支持同时连接两个以上中心的功能，将数据上报到两个中心，并接收中心下发的指令进行处理。</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60" w:name="_Toc763"/>
      <w:bookmarkStart w:id="261" w:name="_Toc32191"/>
      <w:bookmarkStart w:id="262" w:name="_Toc20138"/>
      <w:bookmarkStart w:id="263" w:name="_Toc3858"/>
      <w:bookmarkStart w:id="264" w:name="_Toc91709845"/>
      <w:bookmarkEnd w:id="239"/>
      <w:r>
        <w:rPr>
          <w:rFonts w:ascii="黑体" w:eastAsia="黑体" w:cs="黑体" w:hAnsi="黑体" w:hint="eastAsia"/>
          <w:b w:val="0"/>
          <w:bCs w:val="0"/>
          <w:sz w:val="32"/>
          <w:szCs w:val="32"/>
        </w:rPr>
        <w:t>十一、电源管理</w:t>
      </w:r>
      <w:bookmarkEnd w:id="260"/>
      <w:bookmarkEnd w:id="261"/>
      <w:bookmarkEnd w:id="262"/>
      <w:bookmarkEnd w:id="263"/>
      <w:bookmarkEnd w:id="264"/>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a) 基础要求应满足以下内容：</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车载终端设备的主电源应为车辆电源，车载终端设备断电后应自动进入保护状态。</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在低电压下，低于其值应自动关闭主电源，以保证车辆正常取电。</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b)分级电源管理功能应满足以下内容：</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应支持不同工作模式下的分级电源管理功能，支持ACC检测，当车辆熄火时，应向平台上传熄火信息并自动进入休眠状态。休眠功能应满足以下要求：</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关闭除无线通讯模块、卫星定位模块之外其它不必要设备，卫星定位模块在需要上传时自动唤醒；</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应根据平台远程设置或者按照初始化时设置的参数自动降低数据上传频率；</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65" w:name="_Toc91709846"/>
      <w:r>
        <w:rPr>
          <w:rFonts w:ascii="黑体" w:eastAsia="黑体" w:cs="黑体" w:hAnsi="黑体" w:hint="eastAsia"/>
          <w:b w:val="0"/>
          <w:bCs w:val="0"/>
          <w:sz w:val="32"/>
          <w:szCs w:val="32"/>
        </w:rPr>
        <w:t>十二、驾驶员身份认证</w:t>
      </w:r>
      <w:bookmarkEnd w:id="265"/>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驾驶员身份认证应具备如下功能：</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终端在驾驶员上班时对驾驶员进行人脸抓拍并进行驾驶员身份认证，并对合规驾驶员身份进行语音播报；应支持终端在离线时，对驾驶员进行人脸识别，识别结果可以本地播报（或通过其他方式实现设备离线时的人脸识别功能）</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支持终端在乘客上车时或定时对驾驶员进行人脸抓拍并进做出驾驶员身份认证。</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66" w:name="_Toc91709847"/>
      <w:r>
        <w:rPr>
          <w:rFonts w:ascii="黑体" w:eastAsia="黑体" w:cs="黑体" w:hAnsi="黑体" w:hint="eastAsia"/>
          <w:b w:val="0"/>
          <w:bCs w:val="0"/>
          <w:sz w:val="32"/>
          <w:szCs w:val="32"/>
        </w:rPr>
        <w:t>十三、乘客人脸识别</w:t>
      </w:r>
      <w:bookmarkEnd w:id="266"/>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乘客人脸识别应具备如下功能：</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支持乘客人脸识别并对乘客人脸进行抠图上报；</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支持对乘客脸部光线、角度等因素进行智能分析，识别高质量的乘客人脸图片；</w:t>
      </w: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支持乘客人脸图片上报功能，上报的图片应附加相关标识信息。</w:t>
      </w:r>
    </w:p>
    <w:p>
      <w:pPr>
        <w:pStyle w:val="1"/>
        <w:overflowPunct w:val="0"/>
        <w:adjustRightInd w:val="0"/>
        <w:snapToGrid w:val="0"/>
        <w:spacing w:before="0" w:after="0" w:line="579" w:lineRule="exact"/>
        <w:rPr>
          <w:rFonts w:ascii="黑体" w:eastAsia="黑体" w:cs="黑体" w:hAnsi="黑体"/>
          <w:b w:val="0"/>
          <w:bCs w:val="0"/>
          <w:sz w:val="32"/>
          <w:szCs w:val="32"/>
        </w:rPr>
      </w:pPr>
      <w:bookmarkStart w:id="267" w:name="_Toc91709848"/>
      <w:bookmarkStart w:id="268" w:name="OLE_LINK54"/>
      <w:r>
        <w:rPr>
          <w:rFonts w:ascii="黑体" w:eastAsia="黑体" w:cs="黑体" w:hAnsi="黑体" w:hint="eastAsia"/>
          <w:b w:val="0"/>
          <w:bCs w:val="0"/>
          <w:sz w:val="32"/>
          <w:szCs w:val="32"/>
        </w:rPr>
        <w:t>十四、</w:t>
      </w:r>
      <w:bookmarkStart w:id="269" w:name="_Toc91709851"/>
      <w:bookmarkEnd w:id="160"/>
      <w:bookmarkEnd w:id="161"/>
      <w:bookmarkEnd w:id="162"/>
      <w:bookmarkEnd w:id="169"/>
      <w:bookmarkEnd w:id="170"/>
      <w:bookmarkEnd w:id="171"/>
      <w:bookmarkEnd w:id="172"/>
      <w:bookmarkEnd w:id="173"/>
      <w:bookmarkEnd w:id="174"/>
      <w:bookmarkEnd w:id="267"/>
      <w:bookmarkEnd w:id="268"/>
      <w:r>
        <w:rPr>
          <w:rFonts w:ascii="黑体" w:eastAsia="黑体" w:cs="黑体" w:hAnsi="黑体" w:hint="eastAsia"/>
          <w:b w:val="0"/>
          <w:bCs w:val="0"/>
          <w:sz w:val="32"/>
          <w:szCs w:val="32"/>
        </w:rPr>
        <w:t>摄像装置</w:t>
      </w:r>
      <w:bookmarkEnd w:id="269"/>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如使用两路视频装置应满足对内摄像头拍摄水平视角不低于100度；对外摄像头拍摄水平视角不低于90度。</w:t>
      </w:r>
    </w:p>
    <w:p>
      <w:pPr>
        <w:widowControl/>
        <w:rPr>
          <w:rFonts w:ascii="仿宋" w:eastAsia="仿宋" w:cs="Arial" w:hAnsi="仿宋"/>
          <w:sz w:val="32"/>
          <w:szCs w:val="32"/>
        </w:rPr>
      </w:pPr>
    </w:p>
    <w:p>
      <w:pPr>
        <w:pStyle w:val="1"/>
        <w:overflowPunct w:val="0"/>
        <w:adjustRightInd w:val="0"/>
        <w:snapToGrid w:val="0"/>
        <w:spacing w:before="0" w:after="0" w:line="579" w:lineRule="exact"/>
        <w:ind w:firstLineChars="200" w:firstLine="640"/>
        <w:rPr>
          <w:rFonts w:ascii="仿宋" w:eastAsia="仿宋" w:cs="仿宋" w:hAnsi="仿宋"/>
          <w:b w:val="0"/>
          <w:bCs w:val="0"/>
          <w:sz w:val="32"/>
          <w:szCs w:val="32"/>
        </w:rPr>
      </w:pPr>
      <w:r>
        <w:rPr>
          <w:rFonts w:ascii="仿宋" w:eastAsia="仿宋" w:cs="仿宋" w:hAnsi="仿宋" w:hint="eastAsia"/>
          <w:b w:val="0"/>
          <w:bCs w:val="0"/>
          <w:sz w:val="32"/>
          <w:szCs w:val="32"/>
        </w:rPr>
        <w:t>本标准包含的性能、指标、适应性应能满足编制依据文件中的相关要求。</w:t>
      </w:r>
    </w:p>
    <w:p>
      <w:pPr>
        <w:pStyle w:val="133"/>
        <w:tabs>
          <w:tab w:val="left" w:pos="720"/>
        </w:tabs>
        <w:spacing w:before="0" w:after="0" w:line="360" w:lineRule="auto"/>
        <w:ind w:left="560"/>
        <w:jc w:val="both"/>
        <w:rPr>
          <w:rFonts w:ascii="仿宋" w:eastAsia="仿宋" w:hAnsi="仿宋"/>
          <w:sz w:val="32"/>
          <w:szCs w:val="32"/>
        </w:rPr>
      </w:pPr>
    </w:p>
    <w:p/>
    <w:sectPr>
      <w:pgSz w:w="11906" w:h="16838"/>
      <w:pgMar w:top="2098" w:right="1474" w:bottom="1984" w:left="1587" w:header="708" w:footer="708" w:gutter="0"/>
      <w:cols w:num="1" w:space="720"/>
      <w:docGrid w:linePitch="360" w:charSpace="0"/>
    </w:sectPr>
  </w:body>
</w:document>
</file>

<file path=word/fontTable.xml><?xml version="1.0" encoding="utf-8"?>
<w:fonts xmlns:w="http://schemas.openxmlformats.org/wordprocessingml/2006/main" xmlns:r="http://schemas.openxmlformats.org/officeDocument/2006/relationships">
  <w:font w:name="仿宋_GB2312">
    <w:altName w:val="微软雅黑"/>
    <w:panose1 w:val="00000000000000000000"/>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00000A87" w:usb1="00000000" w:usb2="00000000" w:usb3="00000000" w:csb0="400001BF" w:csb1="DFF7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50"/>
  <w:drawingGridHorizontalSpacing w:val="10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pPr>
    <w:rPr>
      <w:rFonts w:ascii="Times New Roman" w:eastAsia="等线" w:cs="Times New Roman" w:hAnsi="Times New Roman"/>
      <w:sz w:val="20"/>
      <w:szCs w:val="20"/>
      <w:lang w:val="en-US" w:eastAsia="zh-CN" w:bidi="ar-SA"/>
    </w:rPr>
  </w:style>
  <w:style w:type="paragraph" w:styleId="1">
    <w:name w:val="heading 1"/>
    <w:qFormat/>
    <w:link w:val="1Char"/>
    <w:pPr>
      <w:spacing w:before="380" w:after="140" w:line="288" w:lineRule="auto"/>
      <w:outlineLvl w:val="0"/>
    </w:pPr>
    <w:rPr>
      <w:rFonts w:ascii="Arial" w:eastAsia="等线" w:cs="Arial" w:hAnsi="Arial"/>
      <w:b/>
      <w:bCs/>
      <w:sz w:val="36"/>
      <w:szCs w:val="36"/>
      <w:lang w:val="en-US" w:eastAsia="zh-CN" w:bidi="ar-SA"/>
    </w:rPr>
  </w:style>
  <w:style w:type="character" w:customStyle="1" w:styleId="1Char">
    <w:name w:val="heading 1 Char"/>
    <w:basedOn w:val="10"/>
    <w:link w:val="1"/>
    <w:rPr>
      <w:rFonts w:ascii="Arial" w:eastAsia="等线" w:cs="Arial" w:hAnsi="Arial"/>
      <w:b/>
      <w:bCs/>
      <w:sz w:val="36"/>
      <w:szCs w:val="36"/>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sz w:val="32"/>
      <w:szCs w:val="32"/>
      <w:lang w:val="en-US" w:eastAsia="zh-CN" w:bidi="ar-SA"/>
    </w:rPr>
  </w:style>
  <w:style w:type="paragraph" w:styleId="3">
    <w:name w:val="heading 3"/>
    <w:qFormat/>
    <w:link w:val="3Char"/>
    <w:pPr>
      <w:spacing w:before="300" w:after="120" w:line="288" w:lineRule="auto"/>
      <w:outlineLvl w:val="2"/>
    </w:pPr>
    <w:rPr>
      <w:rFonts w:ascii="Arial" w:eastAsia="等线" w:cs="Arial" w:hAnsi="Arial"/>
      <w:b/>
      <w:bCs/>
      <w:sz w:val="30"/>
      <w:szCs w:val="30"/>
      <w:lang w:val="en-US" w:eastAsia="zh-CN" w:bidi="ar-SA"/>
    </w:rPr>
  </w:style>
  <w:style w:type="character" w:customStyle="1" w:styleId="3Char">
    <w:name w:val="heading 3 Char"/>
    <w:basedOn w:val="10"/>
    <w:link w:val="3"/>
    <w:rPr>
      <w:rFonts w:ascii="Arial" w:eastAsia="等线" w:cs="Arial" w:hAnsi="Arial"/>
      <w:b/>
      <w:bCs/>
      <w:sz w:val="30"/>
      <w:szCs w:val="30"/>
      <w:lang w:val="en-US" w:eastAsia="zh-CN" w:bidi="ar-SA"/>
    </w:rPr>
  </w:style>
  <w:style w:type="character" w:default="1" w:styleId="10">
    <w:name w:val="Default Paragraph Font"/>
    <w:qFormat/>
  </w:style>
  <w:style w:type="paragraph" w:customStyle="1" w:yozoId="4094" w:styleId="133">
    <w:name w:val="2"/>
    <w:qFormat/>
    <w:pPr>
      <w:spacing w:before="120" w:after="120" w:line="288" w:lineRule="auto"/>
    </w:pPr>
    <w:rPr>
      <w:rFonts w:ascii="Arial" w:eastAsia="等线" w:cs="Arial" w:hAnsi="Arial"/>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2A58E5B-6D9D-484E-8586-2D4B804B570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Yozo_Office9.0.5978.102ZH.HE59</Application>
  <Pages>11</Pages>
  <Words>0</Words>
  <Characters>3021</Characters>
  <Lines>0</Lines>
  <Paragraphs>129</Paragraphs>
  <CharactersWithSpaces>4028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hp</cp:lastModifiedBy>
  <cp:revision>2</cp:revision>
  <dcterms:created xsi:type="dcterms:W3CDTF">2021-05-08T07:28:00Z</dcterms:created>
  <dcterms:modified xsi:type="dcterms:W3CDTF">2025-12-11T06:28:24Z</dcterms:modified>
</cp:coreProperties>
</file>