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方正小标宋简体" w:eastAsia="方正小标宋简体" w:cs="方正小标宋简体" w:hAnsi="方正小标宋简体" w:hint="eastAsia"/>
          <w:sz w:val="44"/>
          <w:szCs w:val="44"/>
        </w:rPr>
        <w:t>内设机构</w:t>
      </w:r>
    </w:p>
    <w:p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  <w:lang w:eastAsia="zh-CN"/>
        </w:rPr>
        <w:t>一、</w:t>
      </w:r>
      <w:r>
        <w:rPr>
          <w:rFonts w:ascii="黑体" w:eastAsia="黑体" w:cs="黑体" w:hAnsi="黑体" w:hint="eastAsia"/>
          <w:sz w:val="32"/>
          <w:szCs w:val="32"/>
        </w:rPr>
        <w:t>办公室。</w:t>
      </w:r>
      <w:r>
        <w:rPr>
          <w:rFonts w:ascii="仿宋_GB2312" w:eastAsia="仿宋_GB2312" w:hint="eastAsia"/>
          <w:sz w:val="32"/>
          <w:szCs w:val="32"/>
        </w:rPr>
        <w:t>负责机关日常运转工作，承担文电、信息、机要、保密、信访、档案、督查、外事、政务公开、建议提案办理等工作，负责组织重要会议和调研，负责重要文稿的起草，归口管理行业新闻宣传。</w:t>
      </w:r>
    </w:p>
    <w:p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  <w:lang w:eastAsia="zh-CN"/>
        </w:rPr>
        <w:t>二、执法监督科</w:t>
      </w:r>
      <w:r>
        <w:rPr>
          <w:rFonts w:ascii="仿宋_GB2312" w:eastAsia="仿宋_GB2312" w:hint="eastAsia"/>
          <w:sz w:val="32"/>
          <w:szCs w:val="32"/>
        </w:rPr>
        <w:t>。负责交通运输法制建设，组织起草相关规章草案，组织机关行政复议、行政应诉等工作，承担有关规范性文件的合法性审核。负责综合交通运输体制改革，统筹协调交通运输综合行政执法工作。组织开展行业政策研究。配合有关部门做好企业改制工作。</w:t>
      </w:r>
    </w:p>
    <w:p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  <w:lang w:eastAsia="zh-CN"/>
        </w:rPr>
        <w:t>三、</w:t>
      </w:r>
      <w:r>
        <w:rPr>
          <w:rFonts w:ascii="黑体" w:eastAsia="黑体" w:cs="黑体" w:hAnsi="黑体" w:hint="eastAsia"/>
          <w:sz w:val="32"/>
          <w:szCs w:val="32"/>
        </w:rPr>
        <w:t>综合规划科。</w:t>
      </w:r>
      <w:r>
        <w:rPr>
          <w:rFonts w:ascii="仿宋_GB2312" w:eastAsia="仿宋_GB2312" w:hint="eastAsia"/>
          <w:sz w:val="32"/>
          <w:szCs w:val="32"/>
        </w:rPr>
        <w:t>负责拟订全市综合交通运输发展战略和政策，组织编制全市综合交通运输体系规划，拟订公路、地方铁路、民航发展战略、政策和规划并监督实施，指导综合交通运输枢纽规划和管理。参与拟订物流业发展战略和规划。提出全市交通运输行业固定资产投资规模和方向、市财政性资金安排意见，按规定权限审批、核准市规划内和年度计划规模内的固定资产投资项目。承担有关环境保护、利用外资、行业统计和行业经济运行分析工作。按照上级部署要求，做好京津冀协</w:t>
      </w:r>
      <w:r>
        <w:rPr>
          <w:rFonts w:ascii="仿宋_GB2312" w:eastAsia="仿宋_GB2312"/>
          <w:sz w:val="32"/>
          <w:szCs w:val="32"/>
        </w:rPr>
        <w:t>同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发展交通一体化组织协调工作。组织拟订推进区域交通协同发展政策措施并监督实施。协调解决推进区域交通协同发展工作中的具体问题。</w:t>
      </w:r>
    </w:p>
    <w:p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  <w:lang w:eastAsia="zh-CN"/>
        </w:rPr>
        <w:t>四、</w:t>
      </w:r>
      <w:r>
        <w:rPr>
          <w:rFonts w:ascii="黑体" w:eastAsia="黑体" w:cs="黑体" w:hAnsi="黑体" w:hint="eastAsia"/>
          <w:sz w:val="32"/>
          <w:szCs w:val="32"/>
        </w:rPr>
        <w:t>财务审计科。</w:t>
      </w:r>
      <w:r>
        <w:rPr>
          <w:rFonts w:ascii="仿宋_GB2312" w:eastAsia="仿宋_GB2312" w:hint="eastAsia"/>
          <w:sz w:val="32"/>
          <w:szCs w:val="32"/>
        </w:rPr>
        <w:t>负责拟订行业有关投融资政策，负责预决算编制、执行以及政府采购管理工作，承担机关和所属单位债务、国有资产和财务管理等工作。负责拟订和调整收费项目及标准并组织实施。负责交通输行业财政预算资金的绩效监督和管理工作。指导行业财务管理工作。负责机关和所属单位的审计工作。负责对所属单位领导班子主要负责人经济责任审计，对重点建设项目的跟踪审计。指导行业内部审计工作。</w:t>
      </w:r>
    </w:p>
    <w:p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  <w:lang w:eastAsia="zh-CN"/>
        </w:rPr>
        <w:t>五、</w:t>
      </w:r>
      <w:r>
        <w:rPr>
          <w:rFonts w:ascii="黑体" w:eastAsia="黑体" w:cs="黑体" w:hAnsi="黑体" w:hint="eastAsia"/>
          <w:sz w:val="32"/>
          <w:szCs w:val="32"/>
        </w:rPr>
        <w:t>公路管理科。</w:t>
      </w:r>
      <w:r>
        <w:rPr>
          <w:rFonts w:ascii="仿宋_GB2312" w:eastAsia="仿宋_GB2312" w:hint="eastAsia"/>
          <w:sz w:val="32"/>
          <w:szCs w:val="32"/>
        </w:rPr>
        <w:t>负责公路行业管理工作，拟订公路建设、养护、运营相关政策、制度和标准并监督实施。负责公路行业行政许可事项的实施和监督。负责公路建设市场、招投标、资质、信用、工程质量、工程造价监督管理等工作。负责公路工程建设项目的设计审批(审查)、实施监督和竣工验收。指导公路行业安全生产。负责国防交通有关工作。负责拟订行业科技、信息化、标准化政策、规划和有关规章制度并监督实施，组织协调有关重大科技项目研究,指导行业科技创新、成果转化和推广应用工作。承担有关标准、质量和计量工作。负责机关信息化相关工作，指导行业信息化建设。</w:t>
      </w:r>
    </w:p>
    <w:p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  <w:lang w:eastAsia="zh-CN"/>
        </w:rPr>
        <w:t>六、</w:t>
      </w:r>
      <w:r>
        <w:rPr>
          <w:rFonts w:ascii="黑体" w:eastAsia="黑体" w:cs="黑体" w:hAnsi="黑体" w:hint="eastAsia"/>
          <w:sz w:val="32"/>
          <w:szCs w:val="32"/>
        </w:rPr>
        <w:t>铁路民航科。</w:t>
      </w:r>
      <w:r>
        <w:rPr>
          <w:rFonts w:ascii="仿宋_GB2312" w:eastAsia="仿宋_GB2312" w:hint="eastAsia"/>
          <w:sz w:val="32"/>
          <w:szCs w:val="32"/>
        </w:rPr>
        <w:t>负责地方铁路、民航行业管理工作，拟订有关政策、制度和技术标准并监督实施。负责全市民用机场的监督管理，承担相关沟通与衔接工作。负责培育、开辟国内外航线协调工作。承担市铁路沿线环境安全监管联席会议日常工作。指导地方铁路安全生产。</w:t>
      </w:r>
    </w:p>
    <w:p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  <w:lang w:eastAsia="zh-CN"/>
        </w:rPr>
        <w:t>七、</w:t>
      </w:r>
      <w:r>
        <w:rPr>
          <w:rFonts w:ascii="黑体" w:eastAsia="黑体" w:cs="黑体" w:hAnsi="黑体" w:hint="eastAsia"/>
          <w:sz w:val="32"/>
          <w:szCs w:val="32"/>
        </w:rPr>
        <w:t>运输管理科。</w:t>
      </w:r>
      <w:r>
        <w:rPr>
          <w:rFonts w:ascii="仿宋_GB2312" w:eastAsia="仿宋_GB2312" w:hint="eastAsia"/>
          <w:sz w:val="32"/>
          <w:szCs w:val="32"/>
        </w:rPr>
        <w:t>承担道路、地方铁路、民航等综合运输体系的建设和组织协调工作，拟订有关政策、制度和技术标准并监督实施。负责道路、地方铁路运输市场监督管理，指导城乡客</w:t>
      </w:r>
      <w:r>
        <w:rPr>
          <w:rFonts w:ascii="仿宋_GB2312" w:eastAsia="仿宋_GB2312"/>
          <w:sz w:val="32"/>
          <w:szCs w:val="32"/>
        </w:rPr>
        <w:t>运管理工作。指导运输安全生产工作。</w:t>
      </w:r>
    </w:p>
    <w:p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  <w:lang w:eastAsia="zh-CN"/>
        </w:rPr>
        <w:t>八、</w:t>
      </w:r>
      <w:r>
        <w:rPr>
          <w:rFonts w:ascii="黑体" w:eastAsia="黑体" w:cs="黑体" w:hAnsi="黑体" w:hint="eastAsia"/>
          <w:sz w:val="32"/>
          <w:szCs w:val="32"/>
        </w:rPr>
        <w:t>安全应急科。</w:t>
      </w:r>
      <w:r>
        <w:rPr>
          <w:rFonts w:ascii="仿宋_GB2312" w:eastAsia="仿宋_GB2312"/>
          <w:sz w:val="32"/>
          <w:szCs w:val="32"/>
        </w:rPr>
        <w:t>负责拟订全市公路、地方铁路安全生产政策、规章制度和应急预案，承担公路、地方铁路等行业的安全生产监督管理工作，组织协调有关安全和应急处置体系建设。组织协调或参与有关事故调查处理工作。指导行业社会治安综合治理。</w:t>
      </w:r>
    </w:p>
    <w:p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cs="黑体" w:hAnsi="黑体" w:hint="eastAsia"/>
          <w:sz w:val="32"/>
          <w:szCs w:val="32"/>
          <w:lang w:eastAsia="zh-CN"/>
        </w:rPr>
        <w:t>九、</w:t>
      </w:r>
      <w:r>
        <w:rPr>
          <w:rFonts w:ascii="黑体" w:eastAsia="黑体" w:cs="黑体" w:hAnsi="黑体" w:hint="eastAsia"/>
          <w:sz w:val="32"/>
          <w:szCs w:val="32"/>
        </w:rPr>
        <w:t>直属机关党委。</w:t>
      </w:r>
      <w:r>
        <w:rPr>
          <w:rFonts w:ascii="仿宋_GB2312" w:eastAsia="仿宋_GB2312"/>
          <w:sz w:val="32"/>
          <w:szCs w:val="32"/>
        </w:rPr>
        <w:t>负责机关、直属单位的党群工作。指导行业精神文明和行业文化建设。负责机关、直属单位的干部人事、机构编制、绩效管理、劳动工资和人才工作，指导行业教育培训和人才队伍建设工作。负责离退休干部工作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A272CB1B-08AD-4677-A253-8D34A641247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</TotalTime>
  <Application>WPS_Yozo_Office9.0.5978.102ZH.HE59</Application>
  <Pages>3</Pages>
  <Words>0</Words>
  <Characters>1033</Characters>
  <Lines>0</Lines>
  <Paragraphs>10</Paragraphs>
  <CharactersWithSpaces>1378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hp</cp:lastModifiedBy>
  <cp:revision>2</cp:revision>
  <dcterms:created xsi:type="dcterms:W3CDTF">2021-05-08T07:28:00Z</dcterms:created>
  <dcterms:modified xsi:type="dcterms:W3CDTF">2025-11-26T08:29:18Z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2052-11.8.2.8506</vt:lpwstr>
  </property>
</Properties>
</file>