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80" w:lineRule="exact"/>
        <w:ind w:left="0" w:right="0" w:firstLine="0"/>
        <w:jc w:val="center"/>
        <w:rPr>
          <w:rFonts w:hint="eastAsia" w:ascii="方正小标宋简体" w:eastAsia="方正小标宋简体"/>
          <w:b/>
          <w:bCs/>
          <w:color w:val="333333"/>
          <w:spacing w:val="0"/>
          <w:sz w:val="44"/>
          <w:szCs w:val="44"/>
        </w:rPr>
      </w:pPr>
      <w:r>
        <w:rPr>
          <w:rFonts w:hint="eastAsia" w:ascii="方正小标宋简体" w:eastAsia="方正小标宋简体"/>
          <w:b/>
          <w:bCs/>
          <w:color w:val="333333"/>
          <w:spacing w:val="0"/>
          <w:sz w:val="44"/>
          <w:szCs w:val="44"/>
        </w:rPr>
        <w:t>秦皇岛市交通运输局</w:t>
      </w:r>
    </w:p>
    <w:p>
      <w:pPr>
        <w:pStyle w:val="6"/>
        <w:shd w:val="clear" w:color="auto" w:fill="FFFFFF"/>
        <w:spacing w:before="0" w:beforeAutospacing="0" w:after="0" w:afterAutospacing="0" w:line="580" w:lineRule="exact"/>
        <w:ind w:left="0" w:right="0" w:firstLine="0"/>
        <w:jc w:val="center"/>
        <w:rPr>
          <w:rFonts w:hint="eastAsia" w:ascii="方正小标宋简体" w:eastAsia="方正小标宋简体"/>
          <w:color w:val="333333"/>
          <w:spacing w:val="0"/>
          <w:sz w:val="44"/>
          <w:szCs w:val="44"/>
        </w:rPr>
      </w:pPr>
      <w:r>
        <w:rPr>
          <w:rFonts w:hint="eastAsia" w:ascii="方正小标宋简体" w:eastAsia="方正小标宋简体"/>
          <w:b/>
          <w:bCs/>
          <w:color w:val="333333"/>
          <w:spacing w:val="0"/>
          <w:sz w:val="44"/>
          <w:szCs w:val="44"/>
        </w:rPr>
        <w:t>202</w:t>
      </w:r>
      <w:r>
        <w:rPr>
          <w:rFonts w:hint="eastAsia" w:ascii="方正小标宋简体" w:eastAsia="方正小标宋简体"/>
          <w:b/>
          <w:bCs/>
          <w:color w:val="333333"/>
          <w:spacing w:val="0"/>
          <w:sz w:val="44"/>
          <w:szCs w:val="44"/>
          <w:lang w:val="en-US" w:eastAsia="zh-CN"/>
        </w:rPr>
        <w:t>3</w:t>
      </w:r>
      <w:r>
        <w:rPr>
          <w:rFonts w:hint="eastAsia" w:ascii="方正小标宋简体" w:eastAsia="方正小标宋简体"/>
          <w:b/>
          <w:bCs/>
          <w:color w:val="333333"/>
          <w:spacing w:val="0"/>
          <w:sz w:val="44"/>
          <w:szCs w:val="44"/>
        </w:rPr>
        <w:t>年政府信息公开工作年度报告</w:t>
      </w:r>
    </w:p>
    <w:p>
      <w:pPr>
        <w:pStyle w:val="6"/>
        <w:pBdr>
          <w:top w:val="none" w:color="auto" w:sz="0" w:space="0"/>
          <w:left w:val="none" w:color="auto" w:sz="0" w:space="0"/>
          <w:bottom w:val="none" w:color="auto" w:sz="0" w:space="0"/>
          <w:right w:val="none" w:color="auto" w:sz="0" w:space="0"/>
        </w:pBdr>
        <w:spacing w:before="0" w:beforeAutospacing="0" w:after="0" w:afterAutospacing="0" w:line="580" w:lineRule="exact"/>
        <w:ind w:firstLine="480" w:firstLineChars="200"/>
        <w:jc w:val="both"/>
        <w:rPr>
          <w:rFonts w:ascii="宋体" w:eastAsia="宋体"/>
          <w:color w:val="333333"/>
          <w:spacing w:val="0"/>
          <w:sz w:val="24"/>
          <w:szCs w:val="24"/>
        </w:rPr>
      </w:pPr>
    </w:p>
    <w:p>
      <w:pPr>
        <w:pStyle w:val="6"/>
        <w:spacing w:before="0" w:beforeAutospacing="0" w:after="0" w:afterAutospacing="0" w:line="620" w:lineRule="exact"/>
        <w:ind w:left="0" w:firstLine="640" w:firstLineChars="200"/>
        <w:jc w:val="both"/>
        <w:rPr>
          <w:rFonts w:ascii="仿宋_GB2312" w:eastAsia="仿宋_GB2312"/>
          <w:vanish w:val="0"/>
          <w:color w:val="000000"/>
          <w:sz w:val="32"/>
          <w:szCs w:val="32"/>
        </w:rPr>
      </w:pPr>
      <w:r>
        <w:rPr>
          <w:rFonts w:hint="eastAsia" w:ascii="仿宋_GB2312" w:eastAsia="仿宋_GB2312"/>
          <w:vanish w:val="0"/>
          <w:color w:val="000000"/>
          <w:sz w:val="32"/>
          <w:szCs w:val="32"/>
        </w:rPr>
        <w:t>根据《中华人民共和国政府信息公开条例》有关规定，现将《</w:t>
      </w:r>
      <w:r>
        <w:rPr>
          <w:rFonts w:ascii="仿宋_GB2312" w:eastAsia="仿宋_GB2312"/>
          <w:vanish w:val="0"/>
          <w:color w:val="000000"/>
          <w:sz w:val="32"/>
          <w:szCs w:val="32"/>
        </w:rPr>
        <w:t>秦皇岛市</w:t>
      </w:r>
      <w:r>
        <w:rPr>
          <w:rFonts w:hint="eastAsia" w:ascii="仿宋_GB2312" w:eastAsia="仿宋_GB2312"/>
          <w:vanish w:val="0"/>
          <w:color w:val="000000"/>
          <w:sz w:val="32"/>
          <w:szCs w:val="32"/>
        </w:rPr>
        <w:t>交通运输</w:t>
      </w:r>
      <w:r>
        <w:rPr>
          <w:rFonts w:ascii="仿宋_GB2312" w:eastAsia="仿宋_GB2312"/>
          <w:vanish w:val="0"/>
          <w:color w:val="000000"/>
          <w:sz w:val="32"/>
          <w:szCs w:val="32"/>
        </w:rPr>
        <w:t>局</w:t>
      </w:r>
      <w:r>
        <w:rPr>
          <w:rFonts w:hint="eastAsia" w:ascii="仿宋_GB2312" w:eastAsia="仿宋_GB2312"/>
          <w:vanish w:val="0"/>
          <w:color w:val="000000"/>
          <w:sz w:val="32"/>
          <w:szCs w:val="32"/>
        </w:rPr>
        <w:t>202</w:t>
      </w:r>
      <w:r>
        <w:rPr>
          <w:rFonts w:hint="eastAsia" w:ascii="仿宋_GB2312" w:eastAsia="仿宋_GB2312"/>
          <w:vanish w:val="0"/>
          <w:color w:val="000000"/>
          <w:sz w:val="32"/>
          <w:szCs w:val="32"/>
          <w:lang w:val="en-US" w:eastAsia="zh-CN"/>
        </w:rPr>
        <w:t>3</w:t>
      </w:r>
      <w:r>
        <w:rPr>
          <w:rFonts w:hint="eastAsia" w:ascii="仿宋_GB2312" w:eastAsia="仿宋_GB2312"/>
          <w:vanish w:val="0"/>
          <w:color w:val="000000"/>
          <w:sz w:val="32"/>
          <w:szCs w:val="32"/>
        </w:rPr>
        <w:t>年政府信息公开工作年度报告》予以公开。本报告由总体情况、主动公开政府信息情况、收到和处理政府信息公开申请情况、政府信息公开行政复议及行政诉讼情况、存在的主要问题及改进情况、其他需要说明的情况等六方面内容组成。统计数据自202</w:t>
      </w:r>
      <w:r>
        <w:rPr>
          <w:rFonts w:hint="eastAsia" w:ascii="仿宋_GB2312" w:eastAsia="仿宋_GB2312"/>
          <w:vanish w:val="0"/>
          <w:color w:val="000000"/>
          <w:sz w:val="32"/>
          <w:szCs w:val="32"/>
          <w:lang w:val="en-US" w:eastAsia="zh-CN"/>
        </w:rPr>
        <w:t>3</w:t>
      </w:r>
      <w:r>
        <w:rPr>
          <w:rFonts w:hint="eastAsia" w:ascii="仿宋_GB2312" w:eastAsia="仿宋_GB2312"/>
          <w:vanish w:val="0"/>
          <w:color w:val="000000"/>
          <w:sz w:val="32"/>
          <w:szCs w:val="32"/>
        </w:rPr>
        <w:t>年1月1日至202</w:t>
      </w:r>
      <w:r>
        <w:rPr>
          <w:rFonts w:hint="eastAsia" w:ascii="仿宋_GB2312" w:eastAsia="仿宋_GB2312"/>
          <w:vanish w:val="0"/>
          <w:color w:val="000000"/>
          <w:sz w:val="32"/>
          <w:szCs w:val="32"/>
          <w:lang w:val="en-US" w:eastAsia="zh-CN"/>
        </w:rPr>
        <w:t>3</w:t>
      </w:r>
      <w:r>
        <w:rPr>
          <w:rFonts w:hint="eastAsia" w:ascii="仿宋_GB2312" w:eastAsia="仿宋_GB2312"/>
          <w:vanish w:val="0"/>
          <w:color w:val="000000"/>
          <w:sz w:val="32"/>
          <w:szCs w:val="32"/>
        </w:rPr>
        <w:t>年12月31日。</w:t>
      </w:r>
    </w:p>
    <w:p>
      <w:pPr>
        <w:pStyle w:val="6"/>
        <w:pBdr>
          <w:top w:val="none" w:color="auto" w:sz="0" w:space="0"/>
          <w:left w:val="none" w:color="auto" w:sz="0" w:space="0"/>
          <w:bottom w:val="none" w:color="auto" w:sz="0" w:space="0"/>
          <w:right w:val="none" w:color="auto" w:sz="0" w:space="0"/>
        </w:pBdr>
        <w:spacing w:before="0" w:beforeAutospacing="0" w:after="0" w:afterAutospacing="0" w:line="620" w:lineRule="exact"/>
        <w:ind w:left="0" w:firstLine="643" w:firstLineChars="200"/>
        <w:jc w:val="both"/>
        <w:rPr>
          <w:rFonts w:hint="eastAsia" w:ascii="仿宋_GB2312" w:eastAsia="仿宋_GB2312"/>
          <w:color w:val="000000"/>
          <w:sz w:val="32"/>
          <w:szCs w:val="32"/>
        </w:rPr>
      </w:pPr>
      <w:r>
        <w:rPr>
          <w:rFonts w:hint="eastAsia" w:ascii="黑体" w:eastAsia="黑体"/>
          <w:b/>
          <w:bCs/>
          <w:vanish w:val="0"/>
          <w:color w:val="000000"/>
          <w:sz w:val="32"/>
          <w:szCs w:val="32"/>
        </w:rPr>
        <w:t>一、总体情况</w:t>
      </w:r>
    </w:p>
    <w:p>
      <w:pPr>
        <w:pStyle w:val="6"/>
        <w:spacing w:before="0" w:beforeAutospacing="0" w:after="0" w:afterAutospacing="0" w:line="620" w:lineRule="exact"/>
        <w:ind w:left="0" w:firstLine="640" w:firstLineChars="200"/>
        <w:jc w:val="both"/>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年我局按照省、市关于政府信息公开工作的相关要求，围绕交通运输中心工作，管理好、发挥好信息公开的主渠道作用，提升政府信息公开工作服务水平，切实保障公众的知情权、参与权、监督权和表达权。</w:t>
      </w:r>
    </w:p>
    <w:p>
      <w:pPr>
        <w:pStyle w:val="6"/>
        <w:spacing w:before="0" w:beforeAutospacing="0" w:after="0" w:afterAutospacing="0" w:line="620" w:lineRule="exact"/>
        <w:ind w:left="0" w:firstLine="480"/>
        <w:jc w:val="both"/>
        <w:rPr>
          <w:rFonts w:hint="eastAsia" w:ascii="仿宋_GB2312" w:eastAsia="仿宋_GB2312"/>
          <w:color w:val="000000"/>
          <w:sz w:val="32"/>
          <w:szCs w:val="32"/>
        </w:rPr>
      </w:pPr>
      <w:r>
        <w:rPr>
          <w:rFonts w:hint="eastAsia" w:ascii="楷体_GB2312" w:eastAsia="楷体_GB2312"/>
          <w:b/>
          <w:bCs/>
          <w:color w:val="000000"/>
          <w:sz w:val="32"/>
          <w:szCs w:val="32"/>
        </w:rPr>
        <w:t>（一）主动公开情况</w:t>
      </w:r>
    </w:p>
    <w:p>
      <w:pPr>
        <w:pStyle w:val="6"/>
        <w:spacing w:before="0" w:beforeAutospacing="0" w:after="0" w:afterAutospacing="0" w:line="620" w:lineRule="exact"/>
        <w:ind w:firstLine="640" w:firstLineChars="200"/>
        <w:jc w:val="both"/>
        <w:rPr>
          <w:rFonts w:hint="eastAsia" w:ascii="仿宋_GB2312" w:eastAsia="仿宋_GB2312"/>
          <w:color w:val="000000"/>
          <w:sz w:val="32"/>
          <w:szCs w:val="32"/>
        </w:rPr>
      </w:pPr>
      <w:r>
        <w:rPr>
          <w:rFonts w:hint="eastAsia" w:ascii="仿宋_GB2312" w:eastAsia="仿宋_GB2312"/>
          <w:vanish w:val="0"/>
          <w:color w:val="000000"/>
          <w:sz w:val="32"/>
          <w:szCs w:val="32"/>
          <w:lang w:val="en-US" w:eastAsia="zh-CN"/>
        </w:rPr>
        <w:t>2023年，我局</w:t>
      </w:r>
      <w:r>
        <w:rPr>
          <w:rFonts w:hint="eastAsia" w:ascii="仿宋_GB2312" w:eastAsia="仿宋_GB2312"/>
          <w:vanish w:val="0"/>
          <w:color w:val="000000"/>
          <w:sz w:val="32"/>
          <w:szCs w:val="32"/>
        </w:rPr>
        <w:t>持续做好政府信息常态化发布。局门户网站共发稿1126篇次，公开公示政务信息64条次，处置更正错敏信息4833条。外宣发稿583篇，其中公众号发稿163篇、央级主流媒体发稿70篇、省级媒体发稿231篇、市级媒体发稿119篇。</w:t>
      </w:r>
    </w:p>
    <w:p>
      <w:pPr>
        <w:pStyle w:val="6"/>
        <w:spacing w:before="0" w:beforeAutospacing="0" w:after="0" w:afterAutospacing="0" w:line="620" w:lineRule="exact"/>
        <w:ind w:left="0" w:firstLine="480"/>
        <w:jc w:val="both"/>
        <w:rPr>
          <w:rFonts w:ascii="楷体_GB2312" w:eastAsia="楷体_GB2312"/>
          <w:b/>
          <w:bCs/>
          <w:color w:val="000000"/>
          <w:sz w:val="32"/>
          <w:szCs w:val="32"/>
        </w:rPr>
      </w:pPr>
      <w:r>
        <w:rPr>
          <w:rFonts w:hint="eastAsia" w:ascii="楷体_GB2312" w:eastAsia="楷体_GB2312"/>
          <w:b/>
          <w:bCs/>
          <w:color w:val="000000"/>
          <w:sz w:val="32"/>
          <w:szCs w:val="32"/>
        </w:rPr>
        <w:t>（二）依申请公开情况</w:t>
      </w:r>
    </w:p>
    <w:p>
      <w:pPr>
        <w:pStyle w:val="6"/>
        <w:spacing w:before="0" w:beforeAutospacing="0" w:after="0" w:afterAutospacing="0" w:line="620" w:lineRule="exact"/>
        <w:ind w:firstLine="640" w:firstLineChars="200"/>
        <w:jc w:val="both"/>
        <w:rPr>
          <w:rFonts w:hint="eastAsia" w:ascii="楷体_GB2312" w:eastAsia="楷体_GB2312"/>
          <w:b/>
          <w:bCs/>
          <w:color w:val="000000"/>
          <w:sz w:val="32"/>
          <w:szCs w:val="32"/>
        </w:rPr>
      </w:pPr>
      <w:r>
        <w:rPr>
          <w:rFonts w:hint="eastAsia" w:ascii="仿宋_GB2312" w:eastAsia="仿宋_GB2312"/>
          <w:vanish w:val="0"/>
          <w:color w:val="000000"/>
          <w:sz w:val="32"/>
          <w:szCs w:val="32"/>
        </w:rPr>
        <w:t>2</w:t>
      </w:r>
      <w:r>
        <w:rPr>
          <w:rFonts w:hint="eastAsia" w:ascii="仿宋_GB2312" w:eastAsia="仿宋_GB2312"/>
          <w:color w:val="000000"/>
          <w:sz w:val="32"/>
          <w:szCs w:val="32"/>
        </w:rPr>
        <w:t>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年，我局共受理依申请公开6件，其中3件不属于本行政机关公开范围，已建议申请人向相关机关申请</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其他3件均及时办理并按时回复</w:t>
      </w:r>
      <w:r>
        <w:rPr>
          <w:rFonts w:hint="eastAsia" w:ascii="仿宋_GB2312" w:eastAsia="仿宋_GB2312"/>
          <w:color w:val="000000"/>
          <w:sz w:val="32"/>
          <w:szCs w:val="32"/>
          <w:lang w:eastAsia="zh-CN"/>
        </w:rPr>
        <w:t>，</w:t>
      </w:r>
      <w:r>
        <w:rPr>
          <w:rFonts w:hint="eastAsia" w:ascii="仿宋_GB2312" w:eastAsia="仿宋_GB2312"/>
          <w:color w:val="000000"/>
          <w:sz w:val="32"/>
          <w:szCs w:val="32"/>
        </w:rPr>
        <w:t>未产生行政复议、行政诉讼等法律问题，在政府信息公开工作中，所提供建议告知、检索查询、复制传送等均属无偿服务，未收取任何费用。</w:t>
      </w:r>
    </w:p>
    <w:p>
      <w:pPr>
        <w:pStyle w:val="6"/>
        <w:spacing w:before="0" w:beforeAutospacing="0" w:after="0" w:afterAutospacing="0" w:line="620" w:lineRule="exact"/>
        <w:ind w:left="0" w:firstLine="480"/>
        <w:jc w:val="both"/>
        <w:rPr>
          <w:rFonts w:hint="eastAsia" w:ascii="楷体_GB2312" w:eastAsia="楷体_GB2312"/>
          <w:b/>
          <w:bCs/>
          <w:color w:val="000000"/>
          <w:sz w:val="32"/>
          <w:szCs w:val="32"/>
        </w:rPr>
      </w:pPr>
      <w:r>
        <w:rPr>
          <w:rFonts w:hint="eastAsia" w:ascii="楷体_GB2312" w:eastAsia="楷体_GB2312"/>
          <w:b/>
          <w:bCs/>
          <w:color w:val="000000"/>
          <w:sz w:val="32"/>
          <w:szCs w:val="32"/>
        </w:rPr>
        <w:t>（三）政府信息管理情况</w:t>
      </w:r>
    </w:p>
    <w:p>
      <w:pPr>
        <w:pStyle w:val="6"/>
        <w:spacing w:before="0" w:beforeAutospacing="0" w:after="0" w:afterAutospacing="0" w:line="620" w:lineRule="exact"/>
        <w:ind w:firstLine="640" w:firstLineChars="200"/>
        <w:jc w:val="both"/>
        <w:rPr>
          <w:rFonts w:hint="eastAsia"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加强政府信息源头管控，严格明确公文主动公开、依申请公开、不公开等属性，并随文报批。严格履行上网信息发布审核程序，对需要发布的信息内容、格式、文字等进行严格核查，确保发布时不出现原则性错误。同时，对需要发布的相关政策、规范性文件，做到政策解读并行，确保政策落实不走样、发布的信息导向清晰。</w:t>
      </w:r>
    </w:p>
    <w:p>
      <w:pPr>
        <w:pStyle w:val="6"/>
        <w:spacing w:before="0" w:beforeAutospacing="0" w:after="0" w:afterAutospacing="0" w:line="620" w:lineRule="exact"/>
        <w:ind w:left="0" w:firstLine="480"/>
        <w:jc w:val="both"/>
        <w:rPr>
          <w:rFonts w:hint="eastAsia" w:ascii="楷体_GB2312" w:eastAsia="楷体_GB2312"/>
          <w:b/>
          <w:bCs/>
          <w:color w:val="000000"/>
          <w:sz w:val="32"/>
          <w:szCs w:val="32"/>
        </w:rPr>
      </w:pPr>
      <w:r>
        <w:rPr>
          <w:rFonts w:hint="eastAsia" w:ascii="楷体_GB2312" w:eastAsia="楷体_GB2312"/>
          <w:b/>
          <w:bCs/>
          <w:color w:val="000000"/>
          <w:sz w:val="32"/>
          <w:szCs w:val="32"/>
        </w:rPr>
        <w:t>（四）网站平台建设情况</w:t>
      </w:r>
    </w:p>
    <w:p>
      <w:pPr>
        <w:pStyle w:val="6"/>
        <w:spacing w:before="0" w:beforeAutospacing="0" w:after="0" w:afterAutospacing="0" w:line="620" w:lineRule="exact"/>
        <w:ind w:left="0" w:firstLine="640" w:firstLineChars="200"/>
        <w:jc w:val="both"/>
        <w:rPr>
          <w:rFonts w:hint="eastAsia"/>
          <w:color w:val="000000"/>
        </w:rPr>
      </w:pPr>
      <w:r>
        <w:rPr>
          <w:rFonts w:hint="eastAsia" w:ascii="仿宋_GB2312" w:eastAsia="仿宋_GB2312"/>
          <w:b w:val="0"/>
          <w:bCs w:val="0"/>
          <w:i w:val="0"/>
          <w:iCs w:val="0"/>
          <w:caps w:val="0"/>
          <w:smallCaps w:val="0"/>
          <w:vanish w:val="0"/>
          <w:color w:val="000000"/>
          <w:spacing w:val="0"/>
          <w:sz w:val="32"/>
          <w:szCs w:val="32"/>
        </w:rPr>
        <w:t>提升政府门户网站建设水平，对局网站页面布局进行了调整，优化栏目设置，简化搜索流程，强化内容保障，将交通要闻、行业动态、重要转载以及政务服务等结合，特别是加强重点领域信息公开，全面提升政府信息公开专栏实用性和便捷度。在将政府信息公开网站作为网上政务公开的主要平台外，大力推广“秦皇岛市交通运输局”微信公众号，突出新媒体应用宣传，让更多的群众及时了解交通工作动态与相关政策文件。2023年，微信公众号主动公开相关工作信息166条。</w:t>
      </w:r>
    </w:p>
    <w:p>
      <w:pPr>
        <w:pStyle w:val="6"/>
        <w:spacing w:before="0" w:beforeAutospacing="0" w:after="0" w:afterAutospacing="0" w:line="620" w:lineRule="exact"/>
        <w:ind w:left="0" w:firstLine="480"/>
        <w:jc w:val="both"/>
        <w:rPr>
          <w:rFonts w:hint="eastAsia" w:ascii="楷体_GB2312" w:eastAsia="楷体_GB2312"/>
          <w:b/>
          <w:bCs/>
          <w:color w:val="000000"/>
          <w:sz w:val="32"/>
          <w:szCs w:val="32"/>
        </w:rPr>
      </w:pPr>
      <w:r>
        <w:rPr>
          <w:rFonts w:hint="eastAsia" w:ascii="楷体_GB2312" w:eastAsia="楷体_GB2312"/>
          <w:b/>
          <w:bCs/>
          <w:color w:val="000000"/>
          <w:sz w:val="32"/>
          <w:szCs w:val="32"/>
        </w:rPr>
        <w:t>（五）监督保障情况</w:t>
      </w:r>
    </w:p>
    <w:p>
      <w:pPr>
        <w:pStyle w:val="6"/>
        <w:spacing w:before="0" w:beforeAutospacing="0" w:after="0" w:afterAutospacing="0" w:line="620" w:lineRule="exact"/>
        <w:ind w:left="0" w:firstLine="640" w:firstLineChars="200"/>
        <w:jc w:val="both"/>
        <w:rPr>
          <w:rFonts w:hint="eastAsia" w:ascii="仿宋_GB2312" w:eastAsia="仿宋_GB2312"/>
          <w:b w:val="0"/>
          <w:bCs w:val="0"/>
          <w:i w:val="0"/>
          <w:iCs w:val="0"/>
          <w:caps w:val="0"/>
          <w:smallCaps w:val="0"/>
          <w:strike w:val="0"/>
          <w:dstrike w:val="0"/>
          <w:vanish w:val="0"/>
          <w:color w:val="000000"/>
          <w:spacing w:val="0"/>
          <w:sz w:val="32"/>
          <w:szCs w:val="32"/>
        </w:rPr>
      </w:pPr>
      <w:r>
        <w:rPr>
          <w:rFonts w:hint="eastAsia" w:ascii="仿宋_GB2312" w:eastAsia="仿宋_GB2312"/>
          <w:b w:val="0"/>
          <w:bCs w:val="0"/>
          <w:i w:val="0"/>
          <w:iCs w:val="0"/>
          <w:caps w:val="0"/>
          <w:smallCaps w:val="0"/>
          <w:strike w:val="0"/>
          <w:dstrike w:val="0"/>
          <w:vanish w:val="0"/>
          <w:color w:val="000000"/>
          <w:spacing w:val="0"/>
          <w:sz w:val="32"/>
          <w:szCs w:val="32"/>
        </w:rPr>
        <w:t>加强日常监督。将信息公开纳入目标考核工作中，常态化开展政务公开情况自查及内部通报，督促各单位落实好信息公开的相关要求。抓好网站日常整改，及时制定整改方案，并确保整改落到实处。</w:t>
      </w:r>
    </w:p>
    <w:p>
      <w:pPr>
        <w:pStyle w:val="6"/>
        <w:shd w:val="clear" w:color="auto" w:fill="FFFFFF"/>
        <w:spacing w:before="0" w:beforeAutospacing="0" w:after="0" w:afterAutospacing="0" w:line="620" w:lineRule="exact"/>
        <w:ind w:firstLine="643" w:firstLineChars="200"/>
        <w:jc w:val="both"/>
        <w:rPr>
          <w:rFonts w:ascii="仿宋_GB2312" w:eastAsia="仿宋_GB2312"/>
          <w:color w:val="000000"/>
          <w:sz w:val="32"/>
          <w:szCs w:val="32"/>
        </w:rPr>
      </w:pPr>
      <w:r>
        <w:rPr>
          <w:rFonts w:hint="eastAsia" w:ascii="黑体" w:eastAsia="黑体"/>
          <w:b/>
          <w:bCs/>
          <w:color w:val="000000"/>
          <w:sz w:val="32"/>
          <w:szCs w:val="32"/>
        </w:rPr>
        <w:t>二、主动公开政府信息情况</w:t>
      </w:r>
    </w:p>
    <w:tbl>
      <w:tblPr>
        <w:tblStyle w:val="7"/>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25"/>
        <w:gridCol w:w="244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l2br w:val="nil"/>
              <w:tr2bl w:val="nil"/>
            </w:tcBorders>
            <w:shd w:val="clear" w:color="auto" w:fill="C6D9F1"/>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25"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信息内容</w:t>
            </w:r>
          </w:p>
        </w:tc>
        <w:tc>
          <w:tcPr>
            <w:tcW w:w="2445" w:type="dxa"/>
            <w:tcBorders>
              <w:top w:val="single" w:color="auto" w:sz="8" w:space="0"/>
              <w:left w:val="nil"/>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本年制发件数</w:t>
            </w:r>
          </w:p>
        </w:tc>
        <w:tc>
          <w:tcPr>
            <w:tcW w:w="2435" w:type="dxa"/>
            <w:tcBorders>
              <w:top w:val="single" w:color="auto" w:sz="8" w:space="0"/>
              <w:left w:val="nil"/>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本年废止件数</w:t>
            </w:r>
          </w:p>
        </w:tc>
        <w:tc>
          <w:tcPr>
            <w:tcW w:w="2435" w:type="dxa"/>
            <w:tcBorders>
              <w:top w:val="single" w:color="auto" w:sz="8" w:space="0"/>
              <w:left w:val="nil"/>
              <w:bottom w:val="single"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25"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规章</w:t>
            </w:r>
          </w:p>
        </w:tc>
        <w:tc>
          <w:tcPr>
            <w:tcW w:w="2445"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1"/>
                <w:szCs w:val="21"/>
              </w:rPr>
            </w:pPr>
            <w:r>
              <w:rPr>
                <w:rFonts w:ascii="宋体" w:eastAsia="宋体"/>
                <w:color w:val="000000"/>
                <w:spacing w:val="0"/>
                <w:sz w:val="20"/>
                <w:szCs w:val="20"/>
              </w:rPr>
              <w:t>0</w:t>
            </w:r>
          </w:p>
        </w:tc>
        <w:tc>
          <w:tcPr>
            <w:tcW w:w="2435"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1"/>
                <w:szCs w:val="21"/>
              </w:rPr>
            </w:pPr>
            <w:r>
              <w:rPr>
                <w:rFonts w:ascii="宋体" w:eastAsia="宋体"/>
                <w:color w:val="000000"/>
                <w:spacing w:val="0"/>
                <w:sz w:val="20"/>
                <w:szCs w:val="20"/>
              </w:rPr>
              <w:t>0</w:t>
            </w:r>
          </w:p>
        </w:tc>
        <w:tc>
          <w:tcPr>
            <w:tcW w:w="2435"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25"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行政规范性文件</w:t>
            </w:r>
          </w:p>
        </w:tc>
        <w:tc>
          <w:tcPr>
            <w:tcW w:w="2445"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1"/>
                <w:szCs w:val="21"/>
              </w:rPr>
            </w:pPr>
            <w:r>
              <w:rPr>
                <w:rFonts w:ascii="宋体" w:eastAsia="宋体"/>
                <w:color w:val="000000"/>
                <w:spacing w:val="0"/>
                <w:sz w:val="20"/>
                <w:szCs w:val="20"/>
              </w:rPr>
              <w:t>0</w:t>
            </w:r>
          </w:p>
        </w:tc>
        <w:tc>
          <w:tcPr>
            <w:tcW w:w="2435"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Calibri" w:hAnsi="Calibri" w:eastAsia="宋体"/>
                <w:color w:val="000000"/>
                <w:spacing w:val="0"/>
                <w:sz w:val="21"/>
                <w:szCs w:val="21"/>
                <w:lang w:eastAsia="zh-CN"/>
              </w:rPr>
            </w:pPr>
            <w:r>
              <w:rPr>
                <w:rFonts w:hint="eastAsia" w:ascii="宋体"/>
                <w:color w:val="000000"/>
                <w:spacing w:val="0"/>
                <w:sz w:val="20"/>
                <w:szCs w:val="20"/>
                <w:lang w:val="en-US" w:eastAsia="zh-CN"/>
              </w:rPr>
              <w:t>0</w:t>
            </w:r>
          </w:p>
        </w:tc>
        <w:tc>
          <w:tcPr>
            <w:tcW w:w="2435"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lang w:eastAsia="zh-CN"/>
              </w:rPr>
            </w:pPr>
            <w:r>
              <w:rPr>
                <w:rFonts w:hint="eastAsia" w:ascii="宋体"/>
                <w:color w:val="000000"/>
                <w:spacing w:val="0"/>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25"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信息内容</w:t>
            </w:r>
          </w:p>
        </w:tc>
        <w:tc>
          <w:tcPr>
            <w:tcW w:w="7315" w:type="dxa"/>
            <w:gridSpan w:val="3"/>
            <w:tcBorders>
              <w:top w:val="nil"/>
              <w:left w:val="nil"/>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25"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行政许可</w:t>
            </w:r>
          </w:p>
        </w:tc>
        <w:tc>
          <w:tcPr>
            <w:tcW w:w="7315" w:type="dxa"/>
            <w:gridSpan w:val="3"/>
            <w:tcBorders>
              <w:top w:val="nil"/>
              <w:left w:val="nil"/>
              <w:bottom w:val="single" w:color="auto" w:sz="8" w:space="0"/>
              <w:right w:val="single" w:color="auto" w:sz="8" w:space="0"/>
              <w:tl2br w:val="nil"/>
              <w:tr2bl w:val="nil"/>
            </w:tcBorders>
            <w:vAlign w:val="center"/>
          </w:tcPr>
          <w:p>
            <w:pPr>
              <w:spacing w:line="620" w:lineRule="exact"/>
              <w:jc w:val="center"/>
              <w:rPr>
                <w:rFonts w:hint="default" w:ascii="宋体" w:eastAsia="宋体"/>
                <w:color w:val="000000"/>
                <w:spacing w:val="0"/>
                <w:sz w:val="24"/>
                <w:szCs w:val="24"/>
                <w:lang w:val="en-US" w:eastAsia="zh-CN"/>
              </w:rPr>
            </w:pPr>
            <w:r>
              <w:rPr>
                <w:rFonts w:hint="eastAsia" w:ascii="宋体"/>
                <w:color w:val="000000"/>
                <w:sz w:val="20"/>
                <w:szCs w:val="20"/>
                <w:lang w:val="en-US" w:eastAsia="zh-CN"/>
              </w:rPr>
              <w:t>3862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25"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ascii="Calibri" w:hAnsi="Calibri" w:eastAsia="宋体"/>
                <w:color w:val="000000"/>
                <w:spacing w:val="0"/>
                <w:sz w:val="21"/>
                <w:szCs w:val="21"/>
              </w:rPr>
            </w:pPr>
            <w:r>
              <w:rPr>
                <w:rFonts w:hint="eastAsia" w:ascii="宋体" w:eastAsia="宋体"/>
                <w:color w:val="000000"/>
                <w:spacing w:val="0"/>
                <w:sz w:val="20"/>
                <w:szCs w:val="20"/>
              </w:rPr>
              <w:t>信息内容</w:t>
            </w:r>
          </w:p>
        </w:tc>
        <w:tc>
          <w:tcPr>
            <w:tcW w:w="7315" w:type="dxa"/>
            <w:gridSpan w:val="3"/>
            <w:tcBorders>
              <w:top w:val="single" w:color="auto" w:sz="8" w:space="0"/>
              <w:left w:val="nil"/>
              <w:bottom w:val="single" w:color="auto" w:sz="8" w:space="0"/>
              <w:right w:val="single" w:color="auto" w:sz="8" w:space="0"/>
              <w:tl2br w:val="nil"/>
              <w:tr2bl w:val="nil"/>
            </w:tcBorders>
            <w:vAlign w:val="center"/>
          </w:tcPr>
          <w:p>
            <w:pPr>
              <w:spacing w:before="0" w:after="0" w:line="620" w:lineRule="exact"/>
              <w:ind w:right="0" w:firstLine="0"/>
              <w:rPr>
                <w:rFonts w:ascii="Calibri" w:hAnsi="Calibri" w:eastAsia="宋体"/>
                <w:color w:val="000000"/>
                <w:spacing w:val="0"/>
                <w:sz w:val="21"/>
                <w:szCs w:val="21"/>
              </w:rPr>
            </w:pPr>
            <w:r>
              <w:rPr>
                <w:rFonts w:hint="eastAsia" w:ascii="宋体" w:eastAsia="宋体"/>
                <w:color w:val="000000"/>
                <w:spacing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25"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行政处罚</w:t>
            </w:r>
          </w:p>
        </w:tc>
        <w:tc>
          <w:tcPr>
            <w:tcW w:w="7315" w:type="dxa"/>
            <w:gridSpan w:val="3"/>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default" w:ascii="Calibri" w:hAnsi="Calibri" w:eastAsia="宋体"/>
                <w:color w:val="000000"/>
                <w:spacing w:val="0"/>
                <w:sz w:val="21"/>
                <w:szCs w:val="21"/>
                <w:lang w:val="en-US" w:eastAsia="zh-CN"/>
              </w:rPr>
            </w:pPr>
            <w:r>
              <w:rPr>
                <w:rFonts w:hint="eastAsia" w:ascii="宋体" w:eastAsia="宋体"/>
                <w:color w:val="000000"/>
                <w:spacing w:val="0"/>
                <w:sz w:val="20"/>
                <w:szCs w:val="20"/>
              </w:rPr>
              <w:t>　</w:t>
            </w:r>
            <w:r>
              <w:rPr>
                <w:rFonts w:hint="eastAsia" w:ascii="宋体"/>
                <w:color w:val="000000"/>
                <w:spacing w:val="0"/>
                <w:sz w:val="20"/>
                <w:szCs w:val="20"/>
                <w:lang w:val="en-US" w:eastAsia="zh-CN"/>
              </w:rPr>
              <w:t>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25"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行政强制</w:t>
            </w:r>
          </w:p>
        </w:tc>
        <w:tc>
          <w:tcPr>
            <w:tcW w:w="7315" w:type="dxa"/>
            <w:gridSpan w:val="3"/>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default" w:ascii="Calibri" w:hAnsi="Calibri" w:eastAsia="宋体"/>
                <w:color w:val="000000"/>
                <w:spacing w:val="0"/>
                <w:sz w:val="21"/>
                <w:szCs w:val="21"/>
                <w:lang w:val="en-US" w:eastAsia="zh-CN"/>
              </w:rPr>
            </w:pPr>
            <w:r>
              <w:rPr>
                <w:rFonts w:hint="eastAsia" w:ascii="宋体" w:eastAsia="宋体"/>
                <w:color w:val="000000"/>
                <w:spacing w:val="0"/>
                <w:sz w:val="20"/>
                <w:szCs w:val="20"/>
              </w:rPr>
              <w:t>　</w:t>
            </w:r>
            <w:r>
              <w:rPr>
                <w:rFonts w:hint="eastAsia" w:ascii="宋体"/>
                <w:color w:val="000000"/>
                <w:spacing w:val="0"/>
                <w:sz w:val="20"/>
                <w:szCs w:val="20"/>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25"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信息内容</w:t>
            </w:r>
          </w:p>
        </w:tc>
        <w:tc>
          <w:tcPr>
            <w:tcW w:w="7315" w:type="dxa"/>
            <w:gridSpan w:val="3"/>
            <w:tcBorders>
              <w:top w:val="nil"/>
              <w:left w:val="nil"/>
              <w:bottom w:val="single" w:color="auto" w:sz="8" w:space="0"/>
              <w:right w:val="single" w:color="000000" w:sz="8" w:space="0"/>
              <w:tl2br w:val="nil"/>
              <w:tr2bl w:val="nil"/>
            </w:tcBorders>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25"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1"/>
                <w:szCs w:val="21"/>
              </w:rPr>
            </w:pPr>
            <w:r>
              <w:rPr>
                <w:rFonts w:hint="eastAsia" w:ascii="宋体" w:eastAsia="宋体"/>
                <w:color w:val="000000"/>
                <w:spacing w:val="0"/>
                <w:sz w:val="20"/>
                <w:szCs w:val="20"/>
              </w:rPr>
              <w:t>行政事业性收费</w:t>
            </w:r>
          </w:p>
        </w:tc>
        <w:tc>
          <w:tcPr>
            <w:tcW w:w="7315" w:type="dxa"/>
            <w:gridSpan w:val="3"/>
            <w:tcBorders>
              <w:top w:val="nil"/>
              <w:left w:val="nil"/>
              <w:bottom w:val="single" w:color="auto" w:sz="8" w:space="0"/>
              <w:right w:val="single" w:color="000000"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hint="eastAsia" w:ascii="宋体" w:eastAsia="宋体"/>
                <w:color w:val="000000"/>
                <w:spacing w:val="0"/>
                <w:sz w:val="24"/>
                <w:szCs w:val="24"/>
              </w:rPr>
              <w:t>22.6097</w:t>
            </w:r>
          </w:p>
        </w:tc>
      </w:tr>
    </w:tbl>
    <w:p>
      <w:pPr>
        <w:pStyle w:val="6"/>
        <w:spacing w:before="0" w:beforeAutospacing="0" w:after="0" w:afterAutospacing="0" w:line="620" w:lineRule="exact"/>
        <w:ind w:firstLine="482" w:firstLineChars="150"/>
        <w:jc w:val="both"/>
        <w:rPr>
          <w:rFonts w:ascii="黑体" w:eastAsia="黑体"/>
          <w:b/>
          <w:bCs/>
          <w:color w:val="000000"/>
          <w:sz w:val="32"/>
          <w:szCs w:val="32"/>
        </w:rPr>
      </w:pPr>
      <w:r>
        <w:rPr>
          <w:rFonts w:hint="eastAsia" w:ascii="黑体" w:eastAsia="黑体"/>
          <w:b/>
          <w:bCs/>
          <w:color w:val="000000"/>
          <w:sz w:val="32"/>
          <w:szCs w:val="32"/>
        </w:rPr>
        <w:t>三、收到和处理政府信息公开申请情况</w:t>
      </w:r>
    </w:p>
    <w:tbl>
      <w:tblPr>
        <w:tblStyle w:val="7"/>
        <w:tblW w:w="9749"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754"/>
        <w:gridCol w:w="921"/>
        <w:gridCol w:w="3272"/>
        <w:gridCol w:w="686"/>
        <w:gridCol w:w="686"/>
        <w:gridCol w:w="686"/>
        <w:gridCol w:w="686"/>
        <w:gridCol w:w="686"/>
        <w:gridCol w:w="686"/>
        <w:gridCol w:w="6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947" w:type="dxa"/>
            <w:gridSpan w:val="3"/>
            <w:vMerge w:val="restart"/>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rPr>
                <w:rFonts w:hint="eastAsia" w:ascii="楷体_GB2312" w:eastAsia="楷体_GB2312"/>
                <w:color w:val="000000"/>
                <w:spacing w:val="0"/>
                <w:sz w:val="20"/>
                <w:szCs w:val="20"/>
              </w:rPr>
            </w:pPr>
            <w:r>
              <w:rPr>
                <w:rFonts w:hint="eastAsia" w:ascii="楷体" w:eastAsia="楷体"/>
                <w:color w:val="000000"/>
                <w:spacing w:val="0"/>
                <w:sz w:val="20"/>
                <w:szCs w:val="20"/>
              </w:rPr>
              <w:t>（本列数据的勾稽关系为：第一项加第二项之和，等于第三项加第四项之和）</w:t>
            </w:r>
          </w:p>
        </w:tc>
        <w:tc>
          <w:tcPr>
            <w:tcW w:w="4802" w:type="dxa"/>
            <w:gridSpan w:val="7"/>
            <w:tcBorders>
              <w:top w:val="single" w:color="auto" w:sz="8" w:space="0"/>
              <w:left w:val="nil"/>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0"/>
                <w:szCs w:val="20"/>
              </w:rPr>
            </w:pPr>
            <w:r>
              <w:rPr>
                <w:rFonts w:hint="eastAsia" w:ascii="宋体" w:eastAsia="宋体"/>
                <w:color w:val="000000"/>
                <w:spacing w:val="0"/>
                <w:sz w:val="20"/>
                <w:szCs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947" w:type="dxa"/>
            <w:gridSpan w:val="3"/>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86" w:type="dxa"/>
            <w:vMerge w:val="restart"/>
            <w:tcBorders>
              <w:top w:val="nil"/>
              <w:left w:val="nil"/>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0"/>
                <w:szCs w:val="20"/>
              </w:rPr>
            </w:pPr>
            <w:r>
              <w:rPr>
                <w:rFonts w:hint="eastAsia" w:ascii="宋体" w:eastAsia="宋体"/>
                <w:color w:val="000000"/>
                <w:spacing w:val="0"/>
                <w:sz w:val="20"/>
                <w:szCs w:val="20"/>
              </w:rPr>
              <w:t>自然人</w:t>
            </w:r>
          </w:p>
        </w:tc>
        <w:tc>
          <w:tcPr>
            <w:tcW w:w="3430" w:type="dxa"/>
            <w:gridSpan w:val="5"/>
            <w:tcBorders>
              <w:top w:val="single" w:color="auto" w:sz="8" w:space="0"/>
              <w:left w:val="nil"/>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0"/>
                <w:szCs w:val="20"/>
              </w:rPr>
            </w:pPr>
            <w:r>
              <w:rPr>
                <w:rFonts w:hint="eastAsia" w:ascii="宋体" w:eastAsia="宋体"/>
                <w:color w:val="000000"/>
                <w:spacing w:val="0"/>
                <w:sz w:val="20"/>
                <w:szCs w:val="20"/>
              </w:rPr>
              <w:t>法人或其他组织</w:t>
            </w:r>
          </w:p>
        </w:tc>
        <w:tc>
          <w:tcPr>
            <w:tcW w:w="686" w:type="dxa"/>
            <w:vMerge w:val="restart"/>
            <w:tcBorders>
              <w:top w:val="single" w:color="auto" w:sz="8" w:space="0"/>
              <w:left w:val="nil"/>
              <w:bottom w:val="inset"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0"/>
                <w:szCs w:val="20"/>
              </w:rPr>
            </w:pPr>
            <w:r>
              <w:rPr>
                <w:rFonts w:hint="eastAsia" w:ascii="宋体" w:eastAsia="宋体"/>
                <w:color w:val="000000"/>
                <w:spacing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947" w:type="dxa"/>
            <w:gridSpan w:val="3"/>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86" w:type="dxa"/>
            <w:vMerge w:val="continue"/>
            <w:tcBorders>
              <w:top w:val="nil"/>
              <w:left w:val="nil"/>
              <w:bottom w:val="single" w:color="auto" w:sz="8" w:space="0"/>
              <w:right w:val="single" w:color="auto" w:sz="8" w:space="0"/>
              <w:tl2br w:val="nil"/>
              <w:tr2bl w:val="nil"/>
            </w:tcBorders>
            <w:vAlign w:val="center"/>
          </w:tcP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商业</w:t>
            </w:r>
          </w:p>
          <w:p>
            <w:pPr>
              <w:spacing w:before="0" w:after="0" w:line="620" w:lineRule="exact"/>
              <w:ind w:right="0"/>
              <w:rPr>
                <w:rFonts w:ascii="Calibri" w:hAnsi="Calibri" w:eastAsia="宋体"/>
                <w:color w:val="000000"/>
                <w:spacing w:val="0"/>
                <w:sz w:val="20"/>
                <w:szCs w:val="20"/>
              </w:rPr>
            </w:pPr>
            <w:r>
              <w:rPr>
                <w:rFonts w:hint="eastAsia" w:ascii="宋体" w:eastAsia="宋体"/>
                <w:color w:val="000000"/>
                <w:spacing w:val="0"/>
                <w:sz w:val="20"/>
                <w:szCs w:val="20"/>
              </w:rPr>
              <w:t>企业</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科研</w:t>
            </w:r>
          </w:p>
          <w:p>
            <w:pPr>
              <w:spacing w:before="0" w:after="0" w:line="620" w:lineRule="exact"/>
              <w:ind w:right="0"/>
              <w:rPr>
                <w:rFonts w:ascii="Calibri" w:hAnsi="Calibri" w:eastAsia="宋体"/>
                <w:color w:val="000000"/>
                <w:spacing w:val="0"/>
                <w:sz w:val="20"/>
                <w:szCs w:val="20"/>
              </w:rPr>
            </w:pPr>
            <w:r>
              <w:rPr>
                <w:rFonts w:hint="eastAsia" w:ascii="宋体" w:eastAsia="宋体"/>
                <w:color w:val="000000"/>
                <w:spacing w:val="0"/>
                <w:sz w:val="20"/>
                <w:szCs w:val="20"/>
              </w:rPr>
              <w:t>机构</w:t>
            </w:r>
          </w:p>
        </w:tc>
        <w:tc>
          <w:tcPr>
            <w:tcW w:w="686" w:type="dxa"/>
            <w:tcBorders>
              <w:top w:val="single" w:color="auto" w:sz="8" w:space="0"/>
              <w:left w:val="nil"/>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0"/>
                <w:szCs w:val="20"/>
              </w:rPr>
            </w:pPr>
            <w:r>
              <w:rPr>
                <w:rFonts w:hint="eastAsia" w:ascii="宋体" w:eastAsia="宋体"/>
                <w:color w:val="000000"/>
                <w:spacing w:val="0"/>
                <w:sz w:val="20"/>
                <w:szCs w:val="20"/>
              </w:rPr>
              <w:t>社会公益组织</w:t>
            </w:r>
          </w:p>
        </w:tc>
        <w:tc>
          <w:tcPr>
            <w:tcW w:w="686" w:type="dxa"/>
            <w:tcBorders>
              <w:top w:val="single" w:color="auto" w:sz="8" w:space="0"/>
              <w:left w:val="nil"/>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0"/>
                <w:szCs w:val="20"/>
              </w:rPr>
            </w:pPr>
            <w:r>
              <w:rPr>
                <w:rFonts w:hint="eastAsia" w:ascii="宋体" w:eastAsia="宋体"/>
                <w:color w:val="000000"/>
                <w:spacing w:val="0"/>
                <w:sz w:val="20"/>
                <w:szCs w:val="20"/>
              </w:rPr>
              <w:t>法律服务机构</w:t>
            </w:r>
          </w:p>
        </w:tc>
        <w:tc>
          <w:tcPr>
            <w:tcW w:w="686" w:type="dxa"/>
            <w:tcBorders>
              <w:top w:val="single" w:color="auto" w:sz="8" w:space="0"/>
              <w:left w:val="nil"/>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0"/>
                <w:szCs w:val="20"/>
              </w:rPr>
            </w:pPr>
            <w:r>
              <w:rPr>
                <w:rFonts w:hint="eastAsia" w:ascii="宋体" w:eastAsia="宋体"/>
                <w:color w:val="000000"/>
                <w:spacing w:val="0"/>
                <w:sz w:val="20"/>
                <w:szCs w:val="20"/>
              </w:rPr>
              <w:t>其他</w:t>
            </w:r>
          </w:p>
        </w:tc>
        <w:tc>
          <w:tcPr>
            <w:tcW w:w="686" w:type="dxa"/>
            <w:vMerge w:val="continue"/>
            <w:tcBorders>
              <w:top w:val="single" w:color="auto" w:sz="8" w:space="0"/>
              <w:left w:val="nil"/>
              <w:bottom w:val="inset" w:color="auto" w:sz="8" w:space="0"/>
              <w:right w:val="single" w:color="auto" w:sz="8"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947" w:type="dxa"/>
            <w:gridSpan w:val="3"/>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0"/>
                <w:szCs w:val="20"/>
              </w:rPr>
            </w:pPr>
            <w:r>
              <w:rPr>
                <w:rFonts w:hint="eastAsia" w:ascii="宋体" w:eastAsia="宋体"/>
                <w:color w:val="000000"/>
                <w:spacing w:val="0"/>
                <w:sz w:val="20"/>
                <w:szCs w:val="20"/>
              </w:rPr>
              <w:t>一、本年新收政府信息公开申请数量</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Calibri" w:hAnsi="Calibri" w:eastAsia="宋体"/>
                <w:color w:val="000000"/>
                <w:spacing w:val="0"/>
                <w:sz w:val="20"/>
                <w:szCs w:val="20"/>
                <w:lang w:eastAsia="zh-CN"/>
              </w:rPr>
            </w:pPr>
            <w:r>
              <w:rPr>
                <w:rFonts w:ascii="Calibri" w:hAnsi="Calibri" w:eastAsia="宋体"/>
                <w:color w:val="000000"/>
                <w:spacing w:val="0"/>
                <w:sz w:val="20"/>
                <w:szCs w:val="20"/>
              </w:rPr>
              <w:t> </w:t>
            </w:r>
            <w:r>
              <w:rPr>
                <w:rFonts w:hint="eastAsia" w:ascii="Calibri" w:hAnsi="Calibri"/>
                <w:color w:val="000000"/>
                <w:spacing w:val="0"/>
                <w:sz w:val="20"/>
                <w:szCs w:val="20"/>
                <w:lang w:val="en-US" w:eastAsia="zh-CN"/>
              </w:rPr>
              <w:t>6</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hint="eastAsia" w:ascii="Calibri" w:hAnsi="Calibri"/>
                <w:color w:val="000000"/>
                <w:spacing w:val="0"/>
                <w:sz w:val="20"/>
                <w:szCs w:val="20"/>
                <w:lang w:val="en-US" w:eastAsia="zh-CN"/>
              </w:rPr>
              <w:t>0</w:t>
            </w:r>
            <w:r>
              <w:rPr>
                <w:rFonts w:ascii="Calibri" w:hAnsi="Calibri" w:eastAsia="宋体"/>
                <w:color w:val="000000"/>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Calibri" w:hAnsi="Calibri" w:eastAsia="宋体"/>
                <w:color w:val="000000"/>
                <w:spacing w:val="0"/>
                <w:sz w:val="20"/>
                <w:szCs w:val="20"/>
                <w:lang w:eastAsia="zh-CN"/>
              </w:rPr>
            </w:pPr>
            <w:r>
              <w:rPr>
                <w:rFonts w:ascii="Calibri" w:hAnsi="Calibri" w:eastAsia="宋体"/>
                <w:color w:val="000000"/>
                <w:spacing w:val="0"/>
                <w:sz w:val="20"/>
                <w:szCs w:val="20"/>
              </w:rPr>
              <w:t> </w:t>
            </w:r>
            <w:r>
              <w:rPr>
                <w:rFonts w:hint="eastAsia" w:ascii="Calibri" w:hAnsi="Calibri"/>
                <w:color w:val="000000"/>
                <w:spacing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947" w:type="dxa"/>
            <w:gridSpan w:val="3"/>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0"/>
                <w:szCs w:val="20"/>
              </w:rPr>
            </w:pPr>
            <w:r>
              <w:rPr>
                <w:rFonts w:hint="eastAsia" w:ascii="宋体" w:eastAsia="宋体"/>
                <w:color w:val="000000"/>
                <w:spacing w:val="0"/>
                <w:sz w:val="20"/>
                <w:szCs w:val="20"/>
              </w:rPr>
              <w:t>二、上年结转政府信息公开申请数量</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restart"/>
            <w:tcBorders>
              <w:top w:val="nil"/>
              <w:left w:val="single" w:color="auto" w:sz="8" w:space="0"/>
              <w:bottom w:val="inset"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三、本年度办理结果</w:t>
            </w:r>
          </w:p>
        </w:tc>
        <w:tc>
          <w:tcPr>
            <w:tcW w:w="4193" w:type="dxa"/>
            <w:gridSpan w:val="2"/>
            <w:tcBorders>
              <w:top w:val="nil"/>
              <w:left w:val="nil"/>
              <w:bottom w:val="single"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（一）予以公开</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Calibri" w:hAnsi="Calibri" w:eastAsia="宋体"/>
                <w:color w:val="000000"/>
                <w:spacing w:val="0"/>
                <w:sz w:val="20"/>
                <w:szCs w:val="20"/>
                <w:lang w:eastAsia="zh-CN"/>
              </w:rPr>
            </w:pPr>
            <w:r>
              <w:rPr>
                <w:rFonts w:hint="eastAsia" w:ascii="Calibri" w:hAnsi="Calibri"/>
                <w:color w:val="000000"/>
                <w:spacing w:val="0"/>
                <w:sz w:val="20"/>
                <w:szCs w:val="20"/>
                <w:lang w:val="en-US" w:eastAsia="zh-CN"/>
              </w:rPr>
              <w:t>3</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single" w:color="auto" w:sz="8" w:space="0"/>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Calibri" w:hAnsi="Calibri" w:eastAsia="宋体"/>
                <w:color w:val="000000"/>
                <w:spacing w:val="0"/>
                <w:sz w:val="20"/>
                <w:szCs w:val="20"/>
                <w:lang w:eastAsia="zh-CN"/>
              </w:rPr>
            </w:pPr>
            <w:r>
              <w:rPr>
                <w:rFonts w:hint="eastAsia" w:ascii="Calibri" w:hAnsi="Calibri"/>
                <w:color w:val="000000"/>
                <w:spacing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4193" w:type="dxa"/>
            <w:gridSpan w:val="2"/>
            <w:tcBorders>
              <w:top w:val="nil"/>
              <w:left w:val="nil"/>
              <w:bottom w:val="single"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（二）部分公开</w:t>
            </w:r>
            <w:r>
              <w:rPr>
                <w:rFonts w:hint="eastAsia" w:ascii="楷体" w:eastAsia="楷体"/>
                <w:color w:val="000000"/>
                <w:spacing w:val="0"/>
                <w:sz w:val="20"/>
                <w:szCs w:val="20"/>
              </w:rPr>
              <w:t>（区分处理的，只计这一情形，不计其他情形）</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Calibri" w:hAnsi="Calibri" w:eastAsia="宋体"/>
                <w:color w:val="000000"/>
                <w:spacing w:val="0"/>
                <w:sz w:val="20"/>
                <w:szCs w:val="20"/>
                <w:lang w:eastAsia="zh-CN"/>
              </w:rPr>
            </w:pPr>
            <w:r>
              <w:rPr>
                <w:rFonts w:hint="eastAsia" w:ascii="Calibri" w:hAnsi="Calibri"/>
                <w:color w:val="000000"/>
                <w:spacing w:val="0"/>
                <w:sz w:val="20"/>
                <w:szCs w:val="20"/>
                <w:lang w:val="en-US" w:eastAsia="zh-CN"/>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Calibri" w:hAnsi="Calibri" w:eastAsia="宋体"/>
                <w:color w:val="000000"/>
                <w:spacing w:val="0"/>
                <w:sz w:val="20"/>
                <w:szCs w:val="20"/>
                <w:lang w:eastAsia="zh-CN"/>
              </w:rPr>
            </w:pPr>
            <w:r>
              <w:rPr>
                <w:rFonts w:hint="eastAsia" w:ascii="Calibri" w:hAnsi="Calibri"/>
                <w:color w:val="000000"/>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restart"/>
            <w:tcBorders>
              <w:top w:val="nil"/>
              <w:left w:val="nil"/>
              <w:bottom w:val="inset"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（三）不予公开</w:t>
            </w: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1.属于国家秘密</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single" w:color="auto" w:sz="8" w:space="0"/>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2.其他法律行政法规禁止公开</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3.危及“三安全一稳定”</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4.保护第三方合法权益</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5.属于三类内部事务信息</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6.属于四类过程性信息</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7.属于行政执法案卷</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8.属于行政查询事项</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Calibri" w:hAnsi="Calibri" w:eastAsia="宋体"/>
                <w:color w:val="000000"/>
                <w:spacing w:val="0"/>
                <w:sz w:val="20"/>
                <w:szCs w:val="20"/>
                <w:lang w:eastAsia="zh-CN"/>
              </w:rPr>
            </w:pPr>
            <w:r>
              <w:rPr>
                <w:rFonts w:hint="eastAsia" w:ascii="Calibri" w:hAnsi="Calibri"/>
                <w:color w:val="000000"/>
                <w:spacing w:val="0"/>
                <w:sz w:val="20"/>
                <w:szCs w:val="20"/>
                <w:lang w:val="en-US" w:eastAsia="zh-CN"/>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Calibri" w:hAnsi="Calibri" w:eastAsia="宋体"/>
                <w:color w:val="000000"/>
                <w:spacing w:val="0"/>
                <w:sz w:val="20"/>
                <w:szCs w:val="20"/>
                <w:lang w:eastAsia="zh-CN"/>
              </w:rPr>
            </w:pPr>
            <w:r>
              <w:rPr>
                <w:rFonts w:ascii="Calibri" w:hAnsi="Calibri" w:eastAsia="宋体"/>
                <w:color w:val="000000"/>
                <w:spacing w:val="0"/>
                <w:sz w:val="20"/>
                <w:szCs w:val="20"/>
              </w:rPr>
              <w:t> </w:t>
            </w:r>
            <w:r>
              <w:rPr>
                <w:rFonts w:hint="eastAsia" w:ascii="Calibri" w:hAnsi="Calibri"/>
                <w:color w:val="000000"/>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restart"/>
            <w:tcBorders>
              <w:top w:val="nil"/>
              <w:left w:val="nil"/>
              <w:bottom w:val="inset"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（四）无法提供</w:t>
            </w: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1.本机关不掌握相关政府信息</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3</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Calibri" w:hAnsi="Calibri" w:eastAsia="宋体"/>
                <w:color w:val="000000"/>
                <w:spacing w:val="0"/>
                <w:sz w:val="20"/>
                <w:szCs w:val="20"/>
                <w:lang w:eastAsia="zh-CN"/>
              </w:rPr>
            </w:pPr>
            <w:r>
              <w:rPr>
                <w:rFonts w:ascii="Calibri" w:hAnsi="Calibri" w:eastAsia="宋体"/>
                <w:color w:val="000000"/>
                <w:spacing w:val="0"/>
                <w:sz w:val="20"/>
                <w:szCs w:val="20"/>
              </w:rPr>
              <w:t> </w:t>
            </w:r>
            <w:r>
              <w:rPr>
                <w:rFonts w:hint="eastAsia" w:ascii="Calibri" w:hAnsi="Calibri"/>
                <w:color w:val="000000"/>
                <w:spacing w:val="0"/>
                <w:sz w:val="20"/>
                <w:szCs w:val="20"/>
                <w:lang w:val="en-US" w:eastAsia="zh-CN"/>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hint="eastAsia" w:ascii="Calibri" w:hAnsi="Calibri"/>
                <w:color w:val="000000"/>
                <w:spacing w:val="0"/>
                <w:sz w:val="20"/>
                <w:szCs w:val="20"/>
                <w:lang w:val="en-US" w:eastAsia="zh-CN"/>
              </w:rPr>
              <w:t>3</w:t>
            </w:r>
            <w:r>
              <w:rPr>
                <w:rFonts w:ascii="Calibri" w:hAnsi="Calibri" w:eastAsia="宋体"/>
                <w:color w:val="000000"/>
                <w:spacing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2.没有现成信息需要另行制作</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3.补正后申请内容仍不明确</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restart"/>
            <w:tcBorders>
              <w:top w:val="nil"/>
              <w:left w:val="nil"/>
              <w:bottom w:val="inset"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（五）不予处理</w:t>
            </w: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1.信访举报投诉类申请</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2.重复申请</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3.要求提供公开出版物</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4.无正当理由大量反复申请</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79"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inset"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5.要求行政机关确认或重新出具已获取信息</w:t>
            </w:r>
          </w:p>
        </w:tc>
        <w:tc>
          <w:tcPr>
            <w:tcW w:w="686" w:type="dxa"/>
            <w:tcBorders>
              <w:top w:val="nil"/>
              <w:left w:val="nil"/>
              <w:bottom w:val="inset"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inset"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inset"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inset"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inset"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inset"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inset"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restart"/>
            <w:tcBorders>
              <w:top w:val="inset" w:color="auto" w:sz="8" w:space="0"/>
              <w:left w:val="nil"/>
              <w:bottom w:val="inset"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（六）其他处理</w:t>
            </w:r>
          </w:p>
        </w:tc>
        <w:tc>
          <w:tcPr>
            <w:tcW w:w="3272" w:type="dxa"/>
            <w:tcBorders>
              <w:top w:val="nil"/>
              <w:left w:val="nil"/>
              <w:bottom w:val="single"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1.申请人无正当理由逾期不补正、行政机关不再处理其政府信息公开申请</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inset" w:color="auto" w:sz="8" w:space="0"/>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2.申请人逾期未按收费通知要求缴纳费用、行政机关不再处理其政府信息公开申请</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inset" w:color="auto" w:sz="8" w:space="0"/>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3.其他</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4193" w:type="dxa"/>
            <w:gridSpan w:val="2"/>
            <w:tcBorders>
              <w:top w:val="nil"/>
              <w:left w:val="nil"/>
              <w:bottom w:val="single" w:color="auto" w:sz="8" w:space="0"/>
              <w:right w:val="single" w:color="auto" w:sz="8" w:space="0"/>
              <w:tl2br w:val="nil"/>
              <w:tr2bl w:val="nil"/>
            </w:tcBorders>
            <w:vAlign w:val="center"/>
          </w:tcPr>
          <w:p>
            <w:pPr>
              <w:spacing w:before="0" w:after="0" w:line="620" w:lineRule="exact"/>
              <w:ind w:right="0"/>
              <w:rPr>
                <w:rFonts w:hint="eastAsia" w:ascii="宋体" w:eastAsia="宋体"/>
                <w:color w:val="000000"/>
                <w:spacing w:val="0"/>
                <w:sz w:val="20"/>
                <w:szCs w:val="20"/>
              </w:rPr>
            </w:pPr>
            <w:r>
              <w:rPr>
                <w:rFonts w:hint="eastAsia" w:ascii="宋体" w:eastAsia="宋体"/>
                <w:color w:val="000000"/>
                <w:spacing w:val="0"/>
                <w:sz w:val="20"/>
                <w:szCs w:val="20"/>
              </w:rPr>
              <w:t>（七）总计</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Calibri" w:hAnsi="Calibri" w:eastAsia="宋体"/>
                <w:color w:val="000000"/>
                <w:spacing w:val="0"/>
                <w:sz w:val="20"/>
                <w:szCs w:val="20"/>
                <w:lang w:eastAsia="zh-CN"/>
              </w:rPr>
            </w:pPr>
            <w:r>
              <w:rPr>
                <w:rFonts w:hint="eastAsia" w:ascii="Calibri" w:hAnsi="Calibri"/>
                <w:color w:val="000000"/>
                <w:spacing w:val="0"/>
                <w:sz w:val="20"/>
                <w:szCs w:val="20"/>
                <w:lang w:val="en-US" w:eastAsia="zh-CN"/>
              </w:rPr>
              <w:t>6</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Calibri" w:hAnsi="Calibri" w:eastAsia="宋体"/>
                <w:color w:val="000000"/>
                <w:spacing w:val="0"/>
                <w:sz w:val="20"/>
                <w:szCs w:val="20"/>
                <w:lang w:eastAsia="zh-CN"/>
              </w:rPr>
            </w:pPr>
            <w:r>
              <w:rPr>
                <w:rFonts w:ascii="Calibri" w:hAnsi="Calibri" w:eastAsia="宋体"/>
                <w:color w:val="000000"/>
                <w:spacing w:val="0"/>
                <w:sz w:val="20"/>
                <w:szCs w:val="20"/>
              </w:rPr>
              <w:t> </w:t>
            </w:r>
            <w:r>
              <w:rPr>
                <w:rFonts w:hint="eastAsia" w:ascii="Calibri" w:hAnsi="Calibri"/>
                <w:color w:val="000000"/>
                <w:spacing w:val="0"/>
                <w:sz w:val="20"/>
                <w:szCs w:val="20"/>
                <w:lang w:val="en-US" w:eastAsia="zh-CN"/>
              </w:rPr>
              <w:t>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Calibri" w:hAnsi="Calibri" w:eastAsia="宋体"/>
                <w:color w:val="000000"/>
                <w:spacing w:val="0"/>
                <w:sz w:val="20"/>
                <w:szCs w:val="20"/>
                <w:lang w:eastAsia="zh-CN"/>
              </w:rPr>
            </w:pPr>
            <w:r>
              <w:rPr>
                <w:rFonts w:hint="eastAsia" w:ascii="Calibri" w:hAnsi="Calibri"/>
                <w:color w:val="000000"/>
                <w:spacing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947" w:type="dxa"/>
            <w:gridSpan w:val="3"/>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rPr>
                <w:rFonts w:ascii="Calibri" w:hAnsi="Calibri" w:eastAsia="宋体"/>
                <w:color w:val="000000"/>
                <w:spacing w:val="0"/>
                <w:sz w:val="20"/>
                <w:szCs w:val="20"/>
              </w:rPr>
            </w:pPr>
            <w:r>
              <w:rPr>
                <w:rFonts w:hint="eastAsia" w:ascii="宋体" w:eastAsia="宋体"/>
                <w:color w:val="000000"/>
                <w:spacing w:val="0"/>
                <w:sz w:val="20"/>
                <w:szCs w:val="20"/>
              </w:rPr>
              <w:t>四、结转下年度继续办理</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ascii="Calibri" w:hAnsi="Calibri" w:eastAsia="宋体"/>
                <w:color w:val="000000"/>
                <w:spacing w:val="0"/>
                <w:sz w:val="20"/>
                <w:szCs w:val="20"/>
              </w:rPr>
            </w:pPr>
            <w:r>
              <w:rPr>
                <w:rFonts w:ascii="Calibri" w:hAnsi="Calibri" w:eastAsia="宋体"/>
                <w:color w:val="000000"/>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r>
    </w:tbl>
    <w:p>
      <w:pPr>
        <w:pStyle w:val="6"/>
        <w:spacing w:before="0" w:beforeAutospacing="0" w:after="0" w:afterAutospacing="0" w:line="620" w:lineRule="exact"/>
        <w:ind w:left="0" w:firstLine="482" w:firstLineChars="150"/>
        <w:jc w:val="both"/>
        <w:rPr>
          <w:rFonts w:ascii="黑体" w:eastAsia="黑体"/>
          <w:b/>
          <w:bCs/>
          <w:color w:val="000000"/>
          <w:sz w:val="32"/>
          <w:szCs w:val="32"/>
        </w:rPr>
      </w:pPr>
      <w:r>
        <w:rPr>
          <w:rFonts w:hint="eastAsia" w:ascii="黑体" w:eastAsia="黑体"/>
          <w:b/>
          <w:bCs/>
          <w:color w:val="000000"/>
          <w:sz w:val="32"/>
          <w:szCs w:val="32"/>
        </w:rPr>
        <w:t>四、政府信息公开行政复议、行政诉讼情况</w:t>
      </w:r>
    </w:p>
    <w:tbl>
      <w:tblPr>
        <w:tblStyle w:val="7"/>
        <w:tblW w:w="9763"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669"/>
        <w:gridCol w:w="649"/>
        <w:gridCol w:w="649"/>
        <w:gridCol w:w="649"/>
        <w:gridCol w:w="649"/>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3265" w:type="dxa"/>
            <w:gridSpan w:val="5"/>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69" w:type="dxa"/>
            <w:vMerge w:val="restart"/>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结果维持</w:t>
            </w:r>
          </w:p>
        </w:tc>
        <w:tc>
          <w:tcPr>
            <w:tcW w:w="649" w:type="dxa"/>
            <w:vMerge w:val="restart"/>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结果</w:t>
            </w:r>
            <w:r>
              <w:rPr>
                <w:rFonts w:hint="eastAsia" w:ascii="宋体" w:eastAsia="宋体"/>
                <w:color w:val="000000"/>
                <w:spacing w:val="0"/>
                <w:sz w:val="20"/>
                <w:szCs w:val="20"/>
              </w:rPr>
              <w:br w:type="textWrapping"/>
            </w:r>
            <w:r>
              <w:rPr>
                <w:rFonts w:hint="eastAsia" w:ascii="宋体" w:eastAsia="宋体"/>
                <w:color w:val="000000"/>
                <w:spacing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其他</w:t>
            </w:r>
            <w:r>
              <w:rPr>
                <w:rFonts w:hint="eastAsia" w:ascii="宋体" w:eastAsia="宋体"/>
                <w:color w:val="000000"/>
                <w:spacing w:val="0"/>
                <w:sz w:val="20"/>
                <w:szCs w:val="20"/>
              </w:rPr>
              <w:br w:type="textWrapping"/>
            </w:r>
            <w:r>
              <w:rPr>
                <w:rFonts w:hint="eastAsia" w:ascii="宋体" w:eastAsia="宋体"/>
                <w:color w:val="000000"/>
                <w:spacing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尚未</w:t>
            </w:r>
            <w:r>
              <w:rPr>
                <w:rFonts w:hint="eastAsia" w:ascii="宋体" w:eastAsia="宋体"/>
                <w:color w:val="000000"/>
                <w:spacing w:val="0"/>
                <w:sz w:val="20"/>
                <w:szCs w:val="20"/>
              </w:rPr>
              <w:br w:type="textWrapping"/>
            </w:r>
            <w:r>
              <w:rPr>
                <w:rFonts w:hint="eastAsia" w:ascii="宋体" w:eastAsia="宋体"/>
                <w:color w:val="000000"/>
                <w:spacing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69" w:type="dxa"/>
            <w:vMerge w:val="continue"/>
            <w:tcBorders>
              <w:top w:val="nil"/>
              <w:left w:val="single" w:color="auto" w:sz="8" w:space="0"/>
              <w:bottom w:val="single" w:color="auto" w:sz="8" w:space="0"/>
              <w:right w:val="single" w:color="auto" w:sz="8" w:space="0"/>
              <w:tl2br w:val="nil"/>
              <w:tr2bl w:val="nil"/>
            </w:tcBorders>
            <w:vAlign w:val="center"/>
          </w:tcPr>
          <w:p/>
        </w:tc>
        <w:tc>
          <w:tcPr>
            <w:tcW w:w="649" w:type="dxa"/>
            <w:vMerge w:val="continue"/>
            <w:tcBorders>
              <w:top w:val="nil"/>
              <w:left w:val="single" w:color="auto" w:sz="8" w:space="0"/>
              <w:bottom w:val="single" w:color="auto" w:sz="8" w:space="0"/>
              <w:right w:val="single" w:color="auto" w:sz="8" w:space="0"/>
              <w:tl2br w:val="nil"/>
              <w:tr2bl w:val="nil"/>
            </w:tcBorders>
            <w:vAlign w:val="center"/>
          </w:tc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结果</w:t>
            </w:r>
            <w:r>
              <w:rPr>
                <w:rFonts w:hint="eastAsia" w:ascii="宋体" w:eastAsia="宋体"/>
                <w:color w:val="000000"/>
                <w:spacing w:val="0"/>
                <w:sz w:val="20"/>
                <w:szCs w:val="20"/>
              </w:rPr>
              <w:br w:type="textWrapping"/>
            </w:r>
            <w:r>
              <w:rPr>
                <w:rFonts w:hint="eastAsia" w:ascii="宋体" w:eastAsia="宋体"/>
                <w:color w:val="000000"/>
                <w:spacing w:val="0"/>
                <w:sz w:val="20"/>
                <w:szCs w:val="20"/>
              </w:rPr>
              <w:t>维持</w:t>
            </w: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结果</w:t>
            </w:r>
            <w:r>
              <w:rPr>
                <w:rFonts w:hint="eastAsia" w:ascii="宋体" w:eastAsia="宋体"/>
                <w:color w:val="000000"/>
                <w:spacing w:val="0"/>
                <w:sz w:val="20"/>
                <w:szCs w:val="20"/>
              </w:rPr>
              <w:br w:type="textWrapping"/>
            </w:r>
            <w:r>
              <w:rPr>
                <w:rFonts w:hint="eastAsia" w:ascii="宋体" w:eastAsia="宋体"/>
                <w:color w:val="000000"/>
                <w:spacing w:val="0"/>
                <w:sz w:val="20"/>
                <w:szCs w:val="20"/>
              </w:rPr>
              <w:t>纠正</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其他</w:t>
            </w:r>
            <w:r>
              <w:rPr>
                <w:rFonts w:hint="eastAsia" w:ascii="宋体" w:eastAsia="宋体"/>
                <w:color w:val="000000"/>
                <w:spacing w:val="0"/>
                <w:sz w:val="20"/>
                <w:szCs w:val="20"/>
              </w:rPr>
              <w:br w:type="textWrapping"/>
            </w:r>
            <w:r>
              <w:rPr>
                <w:rFonts w:hint="eastAsia" w:ascii="宋体" w:eastAsia="宋体"/>
                <w:color w:val="000000"/>
                <w:spacing w:val="0"/>
                <w:sz w:val="20"/>
                <w:szCs w:val="20"/>
              </w:rPr>
              <w:t>结果</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尚未</w:t>
            </w:r>
            <w:r>
              <w:rPr>
                <w:rFonts w:hint="eastAsia" w:ascii="宋体" w:eastAsia="宋体"/>
                <w:color w:val="000000"/>
                <w:spacing w:val="0"/>
                <w:sz w:val="20"/>
                <w:szCs w:val="20"/>
              </w:rPr>
              <w:br w:type="textWrapping"/>
            </w:r>
            <w:r>
              <w:rPr>
                <w:rFonts w:hint="eastAsia" w:ascii="宋体" w:eastAsia="宋体"/>
                <w:color w:val="000000"/>
                <w:spacing w:val="0"/>
                <w:sz w:val="20"/>
                <w:szCs w:val="20"/>
              </w:rPr>
              <w:t>审结</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总计</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结果</w:t>
            </w:r>
            <w:r>
              <w:rPr>
                <w:rFonts w:hint="eastAsia" w:ascii="宋体" w:eastAsia="宋体"/>
                <w:color w:val="000000"/>
                <w:spacing w:val="0"/>
                <w:sz w:val="20"/>
                <w:szCs w:val="20"/>
              </w:rPr>
              <w:br w:type="textWrapping"/>
            </w:r>
            <w:r>
              <w:rPr>
                <w:rFonts w:hint="eastAsia" w:ascii="宋体" w:eastAsia="宋体"/>
                <w:color w:val="000000"/>
                <w:spacing w:val="0"/>
                <w:sz w:val="20"/>
                <w:szCs w:val="20"/>
              </w:rPr>
              <w:t>维持</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结果</w:t>
            </w:r>
            <w:r>
              <w:rPr>
                <w:rFonts w:hint="eastAsia" w:ascii="宋体" w:eastAsia="宋体"/>
                <w:color w:val="000000"/>
                <w:spacing w:val="0"/>
                <w:sz w:val="20"/>
                <w:szCs w:val="20"/>
              </w:rPr>
              <w:br w:type="textWrapping"/>
            </w:r>
            <w:r>
              <w:rPr>
                <w:rFonts w:hint="eastAsia" w:ascii="宋体" w:eastAsia="宋体"/>
                <w:color w:val="000000"/>
                <w:spacing w:val="0"/>
                <w:sz w:val="20"/>
                <w:szCs w:val="20"/>
              </w:rPr>
              <w:t>纠正</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其他</w:t>
            </w:r>
            <w:r>
              <w:rPr>
                <w:rFonts w:hint="eastAsia" w:ascii="宋体" w:eastAsia="宋体"/>
                <w:color w:val="000000"/>
                <w:spacing w:val="0"/>
                <w:sz w:val="20"/>
                <w:szCs w:val="20"/>
              </w:rPr>
              <w:br w:type="textWrapping"/>
            </w:r>
            <w:r>
              <w:rPr>
                <w:rFonts w:hint="eastAsia" w:ascii="宋体" w:eastAsia="宋体"/>
                <w:color w:val="000000"/>
                <w:spacing w:val="0"/>
                <w:sz w:val="20"/>
                <w:szCs w:val="20"/>
              </w:rPr>
              <w:t>结果</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尚未</w:t>
            </w:r>
            <w:r>
              <w:rPr>
                <w:rFonts w:hint="eastAsia" w:ascii="宋体" w:eastAsia="宋体"/>
                <w:color w:val="000000"/>
                <w:spacing w:val="0"/>
                <w:sz w:val="20"/>
                <w:szCs w:val="20"/>
              </w:rPr>
              <w:br w:type="textWrapping"/>
            </w:r>
            <w:r>
              <w:rPr>
                <w:rFonts w:hint="eastAsia" w:ascii="宋体" w:eastAsia="宋体"/>
                <w:color w:val="000000"/>
                <w:spacing w:val="0"/>
                <w:sz w:val="20"/>
                <w:szCs w:val="20"/>
              </w:rPr>
              <w:t>审结</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after="0" w:line="620" w:lineRule="exact"/>
              <w:ind w:right="0" w:firstLine="0"/>
              <w:rPr>
                <w:rFonts w:hint="eastAsia" w:ascii="黑体" w:eastAsia="黑体"/>
                <w:color w:val="000000"/>
                <w:spacing w:val="0"/>
                <w:sz w:val="20"/>
                <w:szCs w:val="20"/>
              </w:rPr>
            </w:pPr>
            <w:r>
              <w:rPr>
                <w:rFonts w:hint="eastAsia" w:ascii="宋体" w:eastAsia="宋体"/>
                <w:color w:val="000000"/>
                <w:spacing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672" w:hRule="atLeast"/>
          <w:jc w:val="center"/>
        </w:trPr>
        <w:tc>
          <w:tcPr>
            <w:tcW w:w="669"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lang w:eastAsia="zh-CN"/>
              </w:rPr>
            </w:pPr>
            <w:r>
              <w:rPr>
                <w:rFonts w:hint="eastAsia" w:ascii="宋体"/>
                <w:color w:val="000000"/>
                <w:spacing w:val="0"/>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lang w:eastAsia="zh-CN"/>
              </w:rPr>
            </w:pPr>
            <w:r>
              <w:rPr>
                <w:rFonts w:hint="eastAsia" w:ascii="宋体"/>
                <w:color w:val="000000"/>
                <w:spacing w:val="0"/>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lang w:eastAsia="zh-CN"/>
              </w:rPr>
            </w:pPr>
            <w:r>
              <w:rPr>
                <w:rFonts w:hint="eastAsia" w:ascii="宋体"/>
                <w:color w:val="000000"/>
                <w:spacing w:val="0"/>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lang w:eastAsia="zh-CN"/>
              </w:rPr>
            </w:pPr>
            <w:r>
              <w:rPr>
                <w:rFonts w:hint="eastAsia" w:ascii="宋体"/>
                <w:color w:val="000000"/>
                <w:spacing w:val="0"/>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after="0" w:line="620" w:lineRule="exact"/>
              <w:ind w:right="0"/>
              <w:jc w:val="center"/>
              <w:rPr>
                <w:rFonts w:hint="eastAsia" w:ascii="宋体" w:eastAsia="宋体"/>
                <w:color w:val="000000"/>
                <w:spacing w:val="0"/>
                <w:sz w:val="24"/>
                <w:szCs w:val="24"/>
              </w:rPr>
            </w:pPr>
            <w:r>
              <w:rPr>
                <w:rFonts w:ascii="宋体" w:eastAsia="宋体"/>
                <w:color w:val="000000"/>
                <w:spacing w:val="0"/>
                <w:sz w:val="24"/>
                <w:szCs w:val="24"/>
              </w:rPr>
              <w:t>0</w:t>
            </w:r>
          </w:p>
        </w:tc>
      </w:tr>
    </w:tbl>
    <w:p>
      <w:pPr>
        <w:pStyle w:val="6"/>
        <w:shd w:val="clear" w:color="auto" w:fill="FFFFFF"/>
        <w:spacing w:before="0" w:beforeAutospacing="0" w:after="0" w:afterAutospacing="0" w:line="540" w:lineRule="exact"/>
        <w:ind w:right="0" w:firstLine="643" w:firstLineChars="200"/>
        <w:jc w:val="both"/>
        <w:rPr>
          <w:rFonts w:hint="eastAsia" w:ascii="黑体" w:eastAsia="黑体"/>
          <w:color w:val="000000"/>
          <w:spacing w:val="0"/>
          <w:sz w:val="32"/>
          <w:szCs w:val="32"/>
        </w:rPr>
      </w:pPr>
      <w:r>
        <w:rPr>
          <w:rFonts w:hint="eastAsia" w:ascii="黑体" w:eastAsia="黑体"/>
          <w:b/>
          <w:bCs/>
          <w:color w:val="000000"/>
          <w:sz w:val="32"/>
          <w:szCs w:val="32"/>
        </w:rPr>
        <w:t>五、存在的</w:t>
      </w:r>
      <w:r>
        <w:rPr>
          <w:rFonts w:hint="eastAsia" w:ascii="黑体" w:eastAsia="黑体"/>
          <w:b/>
          <w:bCs/>
          <w:color w:val="000000"/>
          <w:spacing w:val="0"/>
          <w:sz w:val="32"/>
          <w:szCs w:val="32"/>
        </w:rPr>
        <w:t>主要问题及改进情况</w:t>
      </w:r>
    </w:p>
    <w:p>
      <w:pPr>
        <w:pStyle w:val="6"/>
        <w:shd w:val="clear" w:color="auto" w:fill="FFFFFF"/>
        <w:spacing w:before="0" w:beforeAutospacing="0" w:after="0" w:afterAutospacing="0" w:line="540" w:lineRule="exact"/>
        <w:ind w:right="0" w:firstLine="640" w:firstLineChars="200"/>
        <w:jc w:val="both"/>
        <w:rPr>
          <w:rFonts w:hint="eastAsia" w:ascii="仿宋_GB2312" w:eastAsia="仿宋_GB2312"/>
          <w:b w:val="0"/>
          <w:bCs w:val="0"/>
          <w:i w:val="0"/>
          <w:iCs w:val="0"/>
          <w:caps w:val="0"/>
          <w:smallCaps w:val="0"/>
          <w:color w:val="000000"/>
          <w:spacing w:val="0"/>
          <w:sz w:val="32"/>
          <w:szCs w:val="32"/>
          <w:shd w:val="clear" w:color="auto" w:fill="FFFFFF"/>
        </w:rPr>
      </w:pPr>
      <w:r>
        <w:rPr>
          <w:rFonts w:hint="eastAsia" w:ascii="仿宋_GB2312" w:eastAsia="仿宋_GB2312"/>
          <w:b w:val="0"/>
          <w:bCs w:val="0"/>
          <w:i w:val="0"/>
          <w:iCs w:val="0"/>
          <w:caps w:val="0"/>
          <w:smallCaps w:val="0"/>
          <w:color w:val="000000"/>
          <w:spacing w:val="0"/>
          <w:sz w:val="32"/>
          <w:szCs w:val="32"/>
          <w:shd w:val="clear" w:color="auto" w:fill="FFFFFF"/>
        </w:rPr>
        <w:t>一是对部分规范性文件、政策的解读生动性不够，解读形式不够丰富；二是信息公开的相关专栏设置和信息公开的方式方法有待进一步完善、拓展；三是对所属单位信息公开的指导力度有待进一步增强。</w:t>
      </w:r>
    </w:p>
    <w:p>
      <w:pPr>
        <w:pStyle w:val="6"/>
        <w:shd w:val="clear" w:color="auto" w:fill="FFFFFF"/>
        <w:spacing w:before="0" w:beforeAutospacing="0" w:after="0" w:afterAutospacing="0" w:line="540" w:lineRule="exact"/>
        <w:ind w:right="0" w:firstLine="640" w:firstLineChars="200"/>
        <w:jc w:val="both"/>
        <w:rPr>
          <w:rFonts w:hint="eastAsia" w:ascii="仿宋_GB2312" w:eastAsia="仿宋_GB2312"/>
          <w:b w:val="0"/>
          <w:bCs w:val="0"/>
          <w:i w:val="0"/>
          <w:iCs w:val="0"/>
          <w:caps w:val="0"/>
          <w:smallCaps w:val="0"/>
          <w:color w:val="000000"/>
          <w:spacing w:val="0"/>
          <w:sz w:val="32"/>
          <w:szCs w:val="32"/>
          <w:shd w:val="clear" w:color="auto" w:fill="FFFFFF"/>
        </w:rPr>
      </w:pPr>
      <w:r>
        <w:rPr>
          <w:rFonts w:hint="eastAsia" w:ascii="仿宋_GB2312" w:eastAsia="仿宋_GB2312"/>
          <w:b w:val="0"/>
          <w:bCs w:val="0"/>
          <w:i w:val="0"/>
          <w:iCs w:val="0"/>
          <w:caps w:val="0"/>
          <w:smallCaps w:val="0"/>
          <w:color w:val="000000"/>
          <w:spacing w:val="0"/>
          <w:sz w:val="32"/>
          <w:szCs w:val="32"/>
          <w:shd w:val="clear" w:color="auto" w:fill="FFFFFF"/>
        </w:rPr>
        <w:t>我局以推进交通运输政务公开标准化规范化建设为契机，进一步做好政府信息公开工作。</w:t>
      </w:r>
      <w:r>
        <w:rPr>
          <w:rFonts w:hint="eastAsia" w:ascii="仿宋_GB2312" w:eastAsia="仿宋_GB2312"/>
          <w:b w:val="0"/>
          <w:bCs w:val="0"/>
          <w:i w:val="0"/>
          <w:iCs w:val="0"/>
          <w:caps w:val="0"/>
          <w:smallCaps w:val="0"/>
          <w:vanish w:val="0"/>
          <w:color w:val="000000"/>
          <w:spacing w:val="0"/>
          <w:sz w:val="32"/>
          <w:szCs w:val="32"/>
        </w:rPr>
        <w:t>一是丰富解读方式，加大政策文件解读力度，从传统文字</w:t>
      </w:r>
      <w:bookmarkStart w:id="0" w:name="_GoBack"/>
      <w:bookmarkEnd w:id="0"/>
      <w:r>
        <w:rPr>
          <w:rFonts w:hint="eastAsia" w:ascii="仿宋_GB2312" w:eastAsia="仿宋_GB2312"/>
          <w:b w:val="0"/>
          <w:bCs w:val="0"/>
          <w:i w:val="0"/>
          <w:iCs w:val="0"/>
          <w:caps w:val="0"/>
          <w:smallCaps w:val="0"/>
          <w:vanish w:val="0"/>
          <w:color w:val="000000"/>
          <w:spacing w:val="0"/>
          <w:sz w:val="32"/>
          <w:szCs w:val="32"/>
        </w:rPr>
        <w:t>型解读向图片、视频等多种形式转变，提升解读材料易读性。</w:t>
      </w:r>
      <w:r>
        <w:rPr>
          <w:rFonts w:hint="eastAsia" w:ascii="仿宋_GB2312" w:eastAsia="仿宋_GB2312"/>
          <w:b w:val="0"/>
          <w:bCs w:val="0"/>
          <w:i w:val="0"/>
          <w:iCs w:val="0"/>
          <w:caps w:val="0"/>
          <w:smallCaps w:val="0"/>
          <w:color w:val="000000"/>
          <w:spacing w:val="0"/>
          <w:sz w:val="32"/>
          <w:szCs w:val="32"/>
          <w:shd w:val="clear" w:color="auto" w:fill="FFFFFF"/>
        </w:rPr>
        <w:t>二是不断优化信息公开栏目设置，及时充实相关信息内容，全面、准确公开政府信息；三是进一步加大对所属基层单位信息公开工作的指导力度，督促所属有关单位依照有关规定全面、准确、及时公开政府信息，确保信息公开工作各项要求落到实处。</w:t>
      </w:r>
    </w:p>
    <w:p>
      <w:pPr>
        <w:pStyle w:val="6"/>
        <w:shd w:val="clear" w:color="auto" w:fill="FFFFFF"/>
        <w:spacing w:before="0" w:beforeAutospacing="0" w:after="0" w:afterAutospacing="0" w:line="540" w:lineRule="exact"/>
        <w:ind w:left="0" w:right="0" w:firstLine="643" w:firstLineChars="200"/>
        <w:jc w:val="both"/>
        <w:rPr>
          <w:rFonts w:hint="eastAsia" w:ascii="黑体" w:eastAsia="黑体"/>
          <w:b/>
          <w:bCs/>
          <w:color w:val="000000"/>
          <w:sz w:val="32"/>
          <w:szCs w:val="32"/>
        </w:rPr>
      </w:pPr>
      <w:r>
        <w:rPr>
          <w:rFonts w:hint="eastAsia" w:ascii="黑体" w:eastAsia="黑体"/>
          <w:b/>
          <w:bCs/>
          <w:color w:val="000000"/>
          <w:sz w:val="32"/>
          <w:szCs w:val="32"/>
        </w:rPr>
        <w:t>六、其他需要报告的事项</w:t>
      </w:r>
    </w:p>
    <w:p>
      <w:pPr>
        <w:pStyle w:val="6"/>
        <w:spacing w:before="0" w:beforeAutospacing="0" w:after="0" w:afterAutospacing="0" w:line="540" w:lineRule="exact"/>
        <w:ind w:firstLine="640" w:firstLineChars="200"/>
        <w:jc w:val="both"/>
        <w:rPr>
          <w:rFonts w:hint="eastAsia" w:ascii="仿宋_GB2312" w:eastAsia="仿宋_GB2312" w:cs="仿宋_GB2312"/>
          <w:color w:val="000000"/>
          <w:sz w:val="32"/>
          <w:szCs w:val="32"/>
          <w:shd w:val="clear" w:color="auto" w:fill="FFFFFF"/>
        </w:rPr>
      </w:pPr>
      <w:r>
        <w:rPr>
          <w:rFonts w:hint="eastAsia" w:ascii="仿宋_GB2312" w:eastAsia="仿宋_GB2312"/>
          <w:color w:val="000000"/>
          <w:spacing w:val="0"/>
          <w:sz w:val="32"/>
          <w:szCs w:val="32"/>
        </w:rPr>
        <w:t>无</w:t>
      </w:r>
    </w:p>
    <w:sectPr>
      <w:pgSz w:w="11907" w:h="16840"/>
      <w:pgMar w:top="2098" w:right="1474" w:bottom="1985" w:left="1588"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
  <w:rsids>
    <w:rsidRoot w:val="00000000"/>
    <w:rsid w:val="00FD1108"/>
    <w:rsid w:val="051707B2"/>
    <w:rsid w:val="250E57A5"/>
    <w:rsid w:val="29DD33C7"/>
    <w:rsid w:val="2AAA107A"/>
    <w:rsid w:val="31795416"/>
    <w:rsid w:val="38EB6284"/>
    <w:rsid w:val="3F2F6784"/>
    <w:rsid w:val="487441FA"/>
    <w:rsid w:val="513C1B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8">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index 6"/>
    <w:basedOn w:val="1"/>
    <w:next w:val="1"/>
    <w:uiPriority w:val="0"/>
    <w:pPr>
      <w:ind w:left="2100"/>
    </w:pPr>
  </w:style>
  <w:style w:type="paragraph" w:styleId="6">
    <w:name w:val="Normal (Web)"/>
    <w:basedOn w:val="1"/>
    <w:next w:val="5"/>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snapToGrid/>
      <w:color w:val="auto"/>
      <w:spacing w:val="0"/>
      <w:w w:val="100"/>
      <w:kern w:val="0"/>
      <w:position w:val="0"/>
      <w:sz w:val="24"/>
      <w:szCs w:val="21"/>
      <w:u w:val="none" w:color="auto"/>
      <w:vertAlign w:val="baseline"/>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6</Pages>
  <Words>2164</Words>
  <Characters>2242</Characters>
  <Lines>371</Lines>
  <Paragraphs>303</Paragraphs>
  <TotalTime>5</TotalTime>
  <ScaleCrop>false</ScaleCrop>
  <LinksUpToDate>false</LinksUpToDate>
  <CharactersWithSpaces>2410</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Administrator</cp:lastModifiedBy>
  <dcterms:modified xsi:type="dcterms:W3CDTF">2024-01-22T08:50:38Z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