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shd w:val="clear" w:color="auto" w:fill="FFFFFF"/>
        <w:spacing w:before="0" w:beforeAutospacing="0" w:after="0" w:afterAutospacing="0" w:line="580" w:lineRule="exact"/>
        <w:ind w:left="0" w:right="0" w:firstLine="0"/>
        <w:jc w:val="center"/>
        <w:rPr>
          <w:rFonts w:ascii="方正小标宋简体" w:eastAsia="方正小标宋简体" w:hint="eastAsia"/>
          <w:b/>
          <w:bCs/>
          <w:color w:val="333333"/>
          <w:spacing w:val="0"/>
          <w:sz w:val="44"/>
          <w:szCs w:val="44"/>
        </w:rPr>
      </w:pPr>
      <w:r>
        <w:rPr>
          <w:rFonts w:ascii="方正小标宋简体" w:eastAsia="方正小标宋简体" w:hint="eastAsia"/>
          <w:b/>
          <w:bCs/>
          <w:color w:val="333333"/>
          <w:spacing w:val="0"/>
          <w:sz w:val="44"/>
          <w:szCs w:val="44"/>
        </w:rPr>
        <w:t>秦皇岛市交通运输局</w:t>
      </w:r>
    </w:p>
    <w:p>
      <w:pPr>
        <w:pStyle w:val="16"/>
        <w:shd w:val="clear" w:color="auto" w:fill="FFFFFF"/>
        <w:spacing w:before="0" w:beforeAutospacing="0" w:after="0" w:afterAutospacing="0" w:line="580" w:lineRule="exact"/>
        <w:ind w:left="0" w:right="0" w:firstLine="0"/>
        <w:jc w:val="center"/>
        <w:rPr>
          <w:rFonts w:ascii="方正小标宋简体" w:eastAsia="方正小标宋简体" w:hint="eastAsia"/>
          <w:color w:val="333333"/>
          <w:spacing w:val="0"/>
          <w:sz w:val="44"/>
          <w:szCs w:val="44"/>
        </w:rPr>
      </w:pPr>
      <w:r>
        <w:rPr>
          <w:rFonts w:ascii="方正小标宋简体" w:eastAsia="方正小标宋简体" w:hint="eastAsia"/>
          <w:b/>
          <w:bCs/>
          <w:color w:val="333333"/>
          <w:spacing w:val="0"/>
          <w:sz w:val="44"/>
          <w:szCs w:val="44"/>
        </w:rPr>
        <w:t>2021年政府信息公开工作年度报告</w:t>
      </w:r>
    </w:p>
    <w:p>
      <w:pPr>
        <w:pStyle w:val="16"/>
        <w:pBdr>
          <w:top w:val="none" w:sz="0" w:space="0" w:color="auto"/>
          <w:left w:val="none" w:sz="0" w:space="0" w:color="auto"/>
          <w:bottom w:val="none" w:sz="0" w:space="0" w:color="auto"/>
          <w:right w:val="none" w:sz="0" w:space="0" w:color="auto"/>
        </w:pBdr>
        <w:spacing w:before="0" w:beforeAutospacing="0" w:after="0" w:afterAutospacing="0" w:line="580" w:lineRule="exact"/>
        <w:ind w:firstLineChars="200" w:firstLine="480"/>
        <w:jc w:val="both"/>
        <w:rPr>
          <w:rFonts w:ascii="宋体" w:eastAsia="宋体"/>
          <w:color w:val="333333"/>
          <w:spacing w:val="0"/>
          <w:sz w:val="24"/>
          <w:szCs w:val="24"/>
        </w:rPr>
      </w:pPr>
    </w:p>
    <w:p>
      <w:pPr>
        <w:pStyle w:val="16"/>
        <w:spacing w:before="0" w:beforeAutospacing="0" w:after="0" w:afterAutospacing="0" w:line="620" w:lineRule="exact"/>
        <w:ind w:left="0" w:firstLineChars="200" w:firstLine="640"/>
        <w:jc w:val="both"/>
        <w:rPr>
          <w:rFonts w:ascii="仿宋_GB2312" w:eastAsia="仿宋_GB2312"/>
          <w:vanish w:val="0"/>
          <w:color w:val="000000"/>
          <w:sz w:val="32"/>
          <w:szCs w:val="32"/>
        </w:rPr>
      </w:pPr>
      <w:r>
        <w:rPr>
          <w:rFonts w:ascii="仿宋_GB2312" w:eastAsia="仿宋_GB2312" w:hint="eastAsia"/>
          <w:vanish w:val="0"/>
          <w:color w:val="000000"/>
          <w:sz w:val="32"/>
          <w:szCs w:val="32"/>
        </w:rPr>
        <w:t>根据《中华人民共和国政府信息公开条例》有关规定，现将《</w:t>
      </w:r>
      <w:r>
        <w:rPr>
          <w:rFonts w:ascii="仿宋_GB2312" w:eastAsia="仿宋_GB2312"/>
          <w:vanish w:val="0"/>
          <w:color w:val="000000"/>
          <w:sz w:val="32"/>
          <w:szCs w:val="32"/>
        </w:rPr>
        <w:t>秦皇岛市</w:t>
      </w:r>
      <w:r>
        <w:rPr>
          <w:rFonts w:ascii="仿宋_GB2312" w:eastAsia="仿宋_GB2312" w:hint="eastAsia"/>
          <w:vanish w:val="0"/>
          <w:color w:val="000000"/>
          <w:sz w:val="32"/>
          <w:szCs w:val="32"/>
        </w:rPr>
        <w:t>交通运输</w:t>
      </w:r>
      <w:r>
        <w:rPr>
          <w:rFonts w:ascii="仿宋_GB2312" w:eastAsia="仿宋_GB2312"/>
          <w:vanish w:val="0"/>
          <w:color w:val="000000"/>
          <w:sz w:val="32"/>
          <w:szCs w:val="32"/>
        </w:rPr>
        <w:t>局</w:t>
      </w:r>
      <w:r>
        <w:rPr>
          <w:rFonts w:ascii="仿宋_GB2312" w:eastAsia="仿宋_GB2312" w:hint="eastAsia"/>
          <w:vanish w:val="0"/>
          <w:color w:val="000000"/>
          <w:sz w:val="32"/>
          <w:szCs w:val="32"/>
        </w:rPr>
        <w:t>202</w:t>
      </w:r>
      <w:r>
        <w:rPr>
          <w:rFonts w:ascii="仿宋_GB2312" w:eastAsia="仿宋_GB2312"/>
          <w:vanish w:val="0"/>
          <w:color w:val="000000"/>
          <w:sz w:val="32"/>
          <w:szCs w:val="32"/>
        </w:rPr>
        <w:t>1</w:t>
      </w:r>
      <w:r>
        <w:rPr>
          <w:rFonts w:ascii="仿宋_GB2312" w:eastAsia="仿宋_GB2312" w:hint="eastAsia"/>
          <w:vanish w:val="0"/>
          <w:color w:val="000000"/>
          <w:sz w:val="32"/>
          <w:szCs w:val="32"/>
        </w:rPr>
        <w:t>年政府信息公开工作年度报告》予以公开。本报告由总体情况、主动公开政府信息情况、收到和处理政府信息公开申请情况、政府信息公开行政复议及行政诉讼情况、存在的主要问题及改进情况、其他需要说明的情况等六方面内容组成。统计数据自202</w:t>
      </w:r>
      <w:r>
        <w:rPr>
          <w:rFonts w:ascii="仿宋_GB2312" w:eastAsia="仿宋_GB2312"/>
          <w:vanish w:val="0"/>
          <w:color w:val="000000"/>
          <w:sz w:val="32"/>
          <w:szCs w:val="32"/>
        </w:rPr>
        <w:t>1</w:t>
      </w:r>
      <w:r>
        <w:rPr>
          <w:rFonts w:ascii="仿宋_GB2312" w:eastAsia="仿宋_GB2312" w:hint="eastAsia"/>
          <w:vanish w:val="0"/>
          <w:color w:val="000000"/>
          <w:sz w:val="32"/>
          <w:szCs w:val="32"/>
        </w:rPr>
        <w:t>年1月1日至202</w:t>
      </w:r>
      <w:r>
        <w:rPr>
          <w:rFonts w:ascii="仿宋_GB2312" w:eastAsia="仿宋_GB2312"/>
          <w:vanish w:val="0"/>
          <w:color w:val="000000"/>
          <w:sz w:val="32"/>
          <w:szCs w:val="32"/>
        </w:rPr>
        <w:t>1</w:t>
      </w:r>
      <w:r>
        <w:rPr>
          <w:rFonts w:ascii="仿宋_GB2312" w:eastAsia="仿宋_GB2312" w:hint="eastAsia"/>
          <w:vanish w:val="0"/>
          <w:color w:val="000000"/>
          <w:sz w:val="32"/>
          <w:szCs w:val="32"/>
        </w:rPr>
        <w:t>年12月31日。</w:t>
      </w:r>
    </w:p>
    <w:p>
      <w:pPr>
        <w:pStyle w:val="16"/>
        <w:pBdr>
          <w:top w:val="none" w:sz="0" w:space="0" w:color="auto"/>
          <w:left w:val="none" w:sz="0" w:space="0" w:color="auto"/>
          <w:bottom w:val="none" w:sz="0" w:space="0" w:color="auto"/>
          <w:right w:val="none" w:sz="0" w:space="0" w:color="auto"/>
        </w:pBdr>
        <w:spacing w:before="0" w:beforeAutospacing="0" w:after="0" w:afterAutospacing="0" w:line="620" w:lineRule="exact"/>
        <w:ind w:left="0" w:firstLineChars="200" w:firstLine="640"/>
        <w:jc w:val="both"/>
        <w:rPr>
          <w:rFonts w:ascii="仿宋_GB2312" w:eastAsia="仿宋_GB2312" w:hint="eastAsia"/>
          <w:color w:val="000000"/>
          <w:sz w:val="32"/>
          <w:szCs w:val="32"/>
        </w:rPr>
      </w:pPr>
      <w:r>
        <w:rPr>
          <w:rFonts w:ascii="黑体" w:eastAsia="黑体" w:hint="eastAsia"/>
          <w:b/>
          <w:bCs/>
          <w:vanish w:val="0"/>
          <w:color w:val="000000"/>
          <w:sz w:val="32"/>
          <w:szCs w:val="32"/>
        </w:rPr>
        <w:t>一、总体情况</w:t>
      </w:r>
    </w:p>
    <w:p>
      <w:pPr>
        <w:pStyle w:val="16"/>
        <w:spacing w:before="0" w:beforeAutospacing="0" w:after="0" w:afterAutospacing="0" w:line="620" w:lineRule="exact"/>
        <w:ind w:left="0" w:firstLineChars="200" w:firstLine="640"/>
        <w:jc w:val="both"/>
        <w:rPr>
          <w:rFonts w:ascii="仿宋_GB2312" w:eastAsia="仿宋_GB2312"/>
          <w:color w:val="000000"/>
          <w:sz w:val="32"/>
          <w:szCs w:val="32"/>
        </w:rPr>
      </w:pPr>
      <w:r>
        <w:rPr>
          <w:rFonts w:ascii="仿宋_GB2312" w:eastAsia="仿宋_GB2312" w:hint="eastAsia"/>
          <w:color w:val="000000"/>
          <w:sz w:val="32"/>
          <w:szCs w:val="32"/>
        </w:rPr>
        <w:t>2021年我局按照省、市关于政府信息公开工作的相关要求，围绕交通运输中心工作，管理好、发挥好信息公开的主渠道作用，提升政府信息公开工作服务水平，切实保障公众的知情权、参与权、监督权和表达权。</w:t>
      </w:r>
    </w:p>
    <w:p>
      <w:pPr>
        <w:pStyle w:val="16"/>
        <w:spacing w:before="0" w:beforeAutospacing="0" w:after="0" w:afterAutospacing="0" w:line="620" w:lineRule="exact"/>
        <w:ind w:left="0" w:firstLine="480"/>
        <w:jc w:val="both"/>
        <w:rPr>
          <w:rFonts w:ascii="仿宋_GB2312" w:eastAsia="仿宋_GB2312" w:hint="eastAsia"/>
          <w:color w:val="000000"/>
          <w:sz w:val="32"/>
          <w:szCs w:val="32"/>
        </w:rPr>
      </w:pPr>
      <w:r>
        <w:rPr>
          <w:rFonts w:ascii="楷体_GB2312" w:eastAsia="楷体_GB2312" w:hint="eastAsia"/>
          <w:b/>
          <w:bCs/>
          <w:color w:val="000000"/>
          <w:sz w:val="32"/>
          <w:szCs w:val="32"/>
        </w:rPr>
        <w:t>（一）主动公开情况</w:t>
      </w:r>
    </w:p>
    <w:p>
      <w:pPr>
        <w:pStyle w:val="16"/>
        <w:spacing w:before="0" w:beforeAutospacing="0" w:after="0" w:afterAutospacing="0" w:line="620" w:lineRule="exact"/>
        <w:ind w:firstLineChars="200" w:firstLine="640"/>
        <w:jc w:val="both"/>
        <w:rPr>
          <w:rFonts w:ascii="仿宋_GB2312" w:eastAsia="仿宋_GB2312" w:hint="eastAsia"/>
          <w:color w:val="000000"/>
          <w:sz w:val="32"/>
          <w:szCs w:val="32"/>
        </w:rPr>
      </w:pPr>
      <w:r>
        <w:rPr>
          <w:rFonts w:ascii="仿宋_GB2312" w:eastAsia="仿宋_GB2312" w:hint="eastAsia"/>
          <w:vanish w:val="0"/>
          <w:color w:val="000000"/>
          <w:sz w:val="32"/>
          <w:szCs w:val="32"/>
        </w:rPr>
        <w:t>2021年，局网站共发布</w:t>
      </w:r>
      <w:r>
        <w:rPr>
          <w:rFonts w:ascii="仿宋_GB2312" w:eastAsia="仿宋_GB2312" w:cs="仿宋_GB2312" w:hint="eastAsia"/>
          <w:b w:val="0"/>
          <w:bCs w:val="0"/>
          <w:color w:val="000000"/>
          <w:sz w:val="32"/>
          <w:szCs w:val="32"/>
          <w:shd w:val="clear" w:color="auto" w:fill="FFFFFF"/>
        </w:rPr>
        <w:t>各类信息</w:t>
      </w:r>
      <w:r>
        <w:rPr>
          <w:rFonts w:ascii="仿宋_GB2312" w:eastAsia="仿宋_GB2312" w:cs="仿宋_GB2312"/>
          <w:b w:val="0"/>
          <w:bCs w:val="0"/>
          <w:color w:val="000000"/>
          <w:sz w:val="32"/>
          <w:szCs w:val="32"/>
          <w:shd w:val="clear" w:color="auto" w:fill="FFFFFF"/>
          <w:lang w:val="en-US" w:eastAsia="zh-CN"/>
        </w:rPr>
        <w:t>923</w:t>
      </w:r>
      <w:r>
        <w:rPr>
          <w:rFonts w:ascii="仿宋_GB2312" w:eastAsia="仿宋_GB2312" w:cs="仿宋_GB2312" w:hint="eastAsia"/>
          <w:b w:val="0"/>
          <w:bCs w:val="0"/>
          <w:color w:val="000000"/>
          <w:sz w:val="32"/>
          <w:szCs w:val="32"/>
          <w:shd w:val="clear" w:color="auto" w:fill="FFFFFF"/>
        </w:rPr>
        <w:t>篇，其中发布重点新闻</w:t>
      </w:r>
      <w:r>
        <w:rPr>
          <w:rFonts w:ascii="仿宋_GB2312" w:eastAsia="仿宋_GB2312" w:cs="仿宋_GB2312"/>
          <w:b w:val="0"/>
          <w:bCs w:val="0"/>
          <w:color w:val="000000"/>
          <w:sz w:val="32"/>
          <w:szCs w:val="32"/>
          <w:shd w:val="clear" w:color="auto" w:fill="FFFFFF"/>
          <w:lang w:val="en-US" w:eastAsia="zh-CN"/>
        </w:rPr>
        <w:t>82</w:t>
      </w:r>
      <w:r>
        <w:rPr>
          <w:rFonts w:ascii="仿宋_GB2312" w:eastAsia="仿宋_GB2312" w:cs="仿宋_GB2312" w:hint="eastAsia"/>
          <w:b w:val="0"/>
          <w:bCs w:val="0"/>
          <w:color w:val="000000"/>
          <w:sz w:val="32"/>
          <w:szCs w:val="32"/>
          <w:shd w:val="clear" w:color="auto" w:fill="FFFFFF"/>
        </w:rPr>
        <w:t>篇,交通动态</w:t>
      </w:r>
      <w:r>
        <w:rPr>
          <w:rFonts w:ascii="仿宋_GB2312" w:eastAsia="仿宋_GB2312" w:cs="仿宋_GB2312"/>
          <w:b w:val="0"/>
          <w:bCs w:val="0"/>
          <w:color w:val="000000"/>
          <w:sz w:val="32"/>
          <w:szCs w:val="32"/>
          <w:shd w:val="clear" w:color="auto" w:fill="FFFFFF"/>
          <w:lang w:val="en-US" w:eastAsia="zh-CN"/>
        </w:rPr>
        <w:t>54</w:t>
      </w:r>
      <w:r>
        <w:rPr>
          <w:rFonts w:ascii="仿宋_GB2312" w:eastAsia="仿宋_GB2312" w:cs="仿宋_GB2312" w:hint="eastAsia"/>
          <w:b w:val="0"/>
          <w:bCs w:val="0"/>
          <w:color w:val="000000"/>
          <w:sz w:val="32"/>
          <w:szCs w:val="32"/>
          <w:shd w:val="clear" w:color="auto" w:fill="FFFFFF"/>
        </w:rPr>
        <w:t>篇，基层动态</w:t>
      </w:r>
      <w:r>
        <w:rPr>
          <w:rFonts w:ascii="仿宋_GB2312" w:eastAsia="仿宋_GB2312" w:cs="仿宋_GB2312"/>
          <w:b w:val="0"/>
          <w:bCs w:val="0"/>
          <w:color w:val="000000"/>
          <w:sz w:val="32"/>
          <w:szCs w:val="32"/>
          <w:shd w:val="clear" w:color="auto" w:fill="FFFFFF"/>
          <w:lang w:val="en-US" w:eastAsia="zh-CN"/>
        </w:rPr>
        <w:t>84</w:t>
      </w:r>
      <w:r>
        <w:rPr>
          <w:rFonts w:ascii="仿宋_GB2312" w:eastAsia="仿宋_GB2312" w:cs="仿宋_GB2312" w:hint="eastAsia"/>
          <w:b w:val="0"/>
          <w:bCs w:val="0"/>
          <w:color w:val="000000"/>
          <w:sz w:val="32"/>
          <w:szCs w:val="32"/>
          <w:shd w:val="clear" w:color="auto" w:fill="FFFFFF"/>
        </w:rPr>
        <w:t>篇，政务公开</w:t>
      </w:r>
      <w:r>
        <w:rPr>
          <w:rFonts w:ascii="仿宋_GB2312" w:eastAsia="仿宋_GB2312" w:cs="仿宋_GB2312"/>
          <w:b w:val="0"/>
          <w:bCs w:val="0"/>
          <w:color w:val="000000"/>
          <w:sz w:val="32"/>
          <w:szCs w:val="32"/>
          <w:shd w:val="clear" w:color="auto" w:fill="FFFFFF"/>
          <w:lang w:val="en-US" w:eastAsia="zh-CN"/>
        </w:rPr>
        <w:t>26</w:t>
      </w:r>
      <w:r>
        <w:rPr>
          <w:rFonts w:ascii="仿宋_GB2312" w:eastAsia="仿宋_GB2312" w:cs="仿宋_GB2312" w:hint="eastAsia"/>
          <w:b w:val="0"/>
          <w:bCs w:val="0"/>
          <w:color w:val="000000"/>
          <w:sz w:val="32"/>
          <w:szCs w:val="32"/>
          <w:shd w:val="clear" w:color="auto" w:fill="FFFFFF"/>
        </w:rPr>
        <w:t>篇，通知公告</w:t>
      </w:r>
      <w:r>
        <w:rPr>
          <w:rFonts w:ascii="仿宋_GB2312" w:eastAsia="仿宋_GB2312" w:cs="仿宋_GB2312"/>
          <w:b w:val="0"/>
          <w:bCs w:val="0"/>
          <w:color w:val="000000"/>
          <w:sz w:val="32"/>
          <w:szCs w:val="32"/>
          <w:shd w:val="clear" w:color="auto" w:fill="FFFFFF"/>
          <w:lang w:val="en-US" w:eastAsia="zh-CN"/>
        </w:rPr>
        <w:t>47</w:t>
      </w:r>
      <w:r>
        <w:rPr>
          <w:rFonts w:ascii="仿宋_GB2312" w:eastAsia="仿宋_GB2312" w:cs="仿宋_GB2312" w:hint="eastAsia"/>
          <w:b w:val="0"/>
          <w:bCs w:val="0"/>
          <w:color w:val="000000"/>
          <w:sz w:val="32"/>
          <w:szCs w:val="32"/>
          <w:shd w:val="clear" w:color="auto" w:fill="FFFFFF"/>
        </w:rPr>
        <w:t>篇，信用交通</w:t>
      </w:r>
      <w:r>
        <w:rPr>
          <w:rFonts w:ascii="仿宋_GB2312" w:eastAsia="仿宋_GB2312" w:cs="仿宋_GB2312"/>
          <w:b w:val="0"/>
          <w:bCs w:val="0"/>
          <w:color w:val="000000"/>
          <w:sz w:val="32"/>
          <w:szCs w:val="32"/>
          <w:shd w:val="clear" w:color="auto" w:fill="FFFFFF"/>
          <w:lang w:val="en-US" w:eastAsia="zh-CN"/>
        </w:rPr>
        <w:t>530</w:t>
      </w:r>
      <w:r>
        <w:rPr>
          <w:rFonts w:ascii="仿宋_GB2312" w:eastAsia="仿宋_GB2312" w:cs="仿宋_GB2312" w:hint="eastAsia"/>
          <w:b w:val="0"/>
          <w:bCs w:val="0"/>
          <w:color w:val="000000"/>
          <w:sz w:val="32"/>
          <w:szCs w:val="32"/>
          <w:shd w:val="clear" w:color="auto" w:fill="FFFFFF"/>
        </w:rPr>
        <w:t>篇，政策法规</w:t>
      </w:r>
      <w:r>
        <w:rPr>
          <w:rFonts w:ascii="仿宋_GB2312" w:eastAsia="仿宋_GB2312" w:cs="仿宋_GB2312"/>
          <w:b w:val="0"/>
          <w:bCs w:val="0"/>
          <w:color w:val="000000"/>
          <w:sz w:val="32"/>
          <w:szCs w:val="32"/>
          <w:shd w:val="clear" w:color="auto" w:fill="FFFFFF"/>
          <w:lang w:val="en-US" w:eastAsia="zh-CN"/>
        </w:rPr>
        <w:t>82</w:t>
      </w:r>
      <w:r>
        <w:rPr>
          <w:rFonts w:ascii="仿宋_GB2312" w:eastAsia="仿宋_GB2312" w:cs="仿宋_GB2312" w:hint="eastAsia"/>
          <w:color w:val="000000"/>
          <w:sz w:val="32"/>
          <w:szCs w:val="32"/>
        </w:rPr>
        <w:t>篇，图片新闻</w:t>
      </w:r>
      <w:r>
        <w:rPr>
          <w:rFonts w:ascii="仿宋_GB2312" w:eastAsia="仿宋_GB2312" w:cs="仿宋_GB2312"/>
          <w:color w:val="000000"/>
          <w:sz w:val="32"/>
          <w:szCs w:val="32"/>
          <w:lang w:val="en-US" w:eastAsia="zh-CN"/>
        </w:rPr>
        <w:t>18</w:t>
      </w:r>
      <w:r>
        <w:rPr>
          <w:rFonts w:ascii="仿宋_GB2312" w:eastAsia="仿宋_GB2312" w:cs="仿宋_GB2312" w:hint="eastAsia"/>
          <w:color w:val="000000"/>
          <w:sz w:val="32"/>
          <w:szCs w:val="32"/>
        </w:rPr>
        <w:t>张。</w:t>
      </w:r>
      <w:r>
        <w:rPr>
          <w:rFonts w:ascii="仿宋_GB2312" w:eastAsia="仿宋_GB2312" w:hint="eastAsia"/>
          <w:color w:val="000000"/>
          <w:sz w:val="32"/>
          <w:szCs w:val="32"/>
        </w:rPr>
        <w:t>2021年</w:t>
      </w:r>
      <w:r>
        <w:rPr>
          <w:rFonts w:ascii="仿宋_GB2312" w:eastAsia="仿宋_GB2312" w:cs="仿宋_GB2312" w:hint="eastAsia"/>
          <w:color w:val="000000"/>
          <w:sz w:val="32"/>
          <w:szCs w:val="32"/>
          <w:lang w:val="en-US" w:eastAsia="zh-CN"/>
        </w:rPr>
        <w:t>主动公开人大、政协代表提案答复意见41件，办复率、回访率及满意率均达到100%。</w:t>
      </w:r>
    </w:p>
    <w:p>
      <w:pPr>
        <w:pStyle w:val="16"/>
        <w:spacing w:before="0" w:beforeAutospacing="0" w:after="0" w:afterAutospacing="0" w:line="620" w:lineRule="exact"/>
        <w:ind w:left="0" w:firstLine="480"/>
        <w:jc w:val="both"/>
        <w:rPr>
          <w:rFonts w:ascii="楷体_GB2312" w:eastAsia="楷体_GB2312"/>
          <w:b/>
          <w:bCs/>
          <w:color w:val="000000"/>
          <w:sz w:val="32"/>
          <w:szCs w:val="32"/>
        </w:rPr>
      </w:pPr>
      <w:r>
        <w:rPr>
          <w:rFonts w:ascii="楷体_GB2312" w:eastAsia="楷体_GB2312" w:hint="eastAsia"/>
          <w:b/>
          <w:bCs/>
          <w:color w:val="000000"/>
          <w:sz w:val="32"/>
          <w:szCs w:val="32"/>
        </w:rPr>
        <w:t>（二）依申请公开情况</w:t>
      </w:r>
    </w:p>
    <w:p>
      <w:pPr>
        <w:pStyle w:val="16"/>
        <w:spacing w:before="0" w:beforeAutospacing="0" w:after="0" w:afterAutospacing="0" w:line="620" w:lineRule="exact"/>
        <w:ind w:firstLineChars="200" w:firstLine="640"/>
        <w:jc w:val="both"/>
        <w:rPr>
          <w:rFonts w:ascii="楷体_GB2312" w:eastAsia="楷体_GB2312" w:hint="eastAsia"/>
          <w:b/>
          <w:bCs/>
          <w:color w:val="000000"/>
          <w:sz w:val="32"/>
          <w:szCs w:val="32"/>
        </w:rPr>
      </w:pPr>
      <w:r>
        <w:rPr>
          <w:rFonts w:ascii="仿宋_GB2312" w:eastAsia="仿宋_GB2312" w:hint="eastAsia"/>
          <w:vanish w:val="0"/>
          <w:color w:val="000000"/>
          <w:sz w:val="32"/>
          <w:szCs w:val="32"/>
        </w:rPr>
        <w:t>2</w:t>
      </w:r>
      <w:r>
        <w:rPr>
          <w:rFonts w:ascii="仿宋_GB2312" w:eastAsia="仿宋_GB2312" w:hint="eastAsia"/>
          <w:color w:val="000000"/>
          <w:sz w:val="32"/>
          <w:szCs w:val="32"/>
        </w:rPr>
        <w:t>021年，我局共受理群众政府信息公开申请</w:t>
      </w:r>
      <w:r>
        <w:rPr>
          <w:rFonts w:ascii="仿宋_GB2312" w:eastAsia="仿宋_GB2312"/>
          <w:color w:val="000000"/>
          <w:sz w:val="32"/>
          <w:szCs w:val="32"/>
        </w:rPr>
        <w:t>8</w:t>
      </w:r>
      <w:r>
        <w:rPr>
          <w:rFonts w:ascii="仿宋_GB2312" w:eastAsia="仿宋_GB2312" w:hint="eastAsia"/>
          <w:color w:val="000000"/>
          <w:sz w:val="32"/>
          <w:szCs w:val="32"/>
        </w:rPr>
        <w:t>件，其中公民个人申请</w:t>
      </w:r>
      <w:r>
        <w:rPr>
          <w:rFonts w:ascii="仿宋_GB2312" w:eastAsia="仿宋_GB2312"/>
          <w:color w:val="000000"/>
          <w:sz w:val="32"/>
          <w:szCs w:val="32"/>
        </w:rPr>
        <w:t>7</w:t>
      </w:r>
      <w:r>
        <w:rPr>
          <w:rFonts w:ascii="仿宋_GB2312" w:eastAsia="仿宋_GB2312" w:hint="eastAsia"/>
          <w:color w:val="000000"/>
          <w:sz w:val="32"/>
          <w:szCs w:val="32"/>
        </w:rPr>
        <w:t>件，其它组织申请1件。按照申请方式来分，信函申请</w:t>
      </w:r>
      <w:r>
        <w:rPr>
          <w:rFonts w:ascii="仿宋_GB2312" w:eastAsia="仿宋_GB2312"/>
          <w:color w:val="000000"/>
          <w:sz w:val="32"/>
          <w:szCs w:val="32"/>
        </w:rPr>
        <w:t>7</w:t>
      </w:r>
      <w:r>
        <w:rPr>
          <w:rFonts w:ascii="仿宋_GB2312" w:eastAsia="仿宋_GB2312" w:hint="eastAsia"/>
          <w:color w:val="000000"/>
          <w:sz w:val="32"/>
          <w:szCs w:val="32"/>
        </w:rPr>
        <w:t>件、网络在线申请1件。办理的依申请公开件均未收取申请人任何费用。</w:t>
      </w:r>
    </w:p>
    <w:p>
      <w:pPr>
        <w:pStyle w:val="16"/>
        <w:spacing w:before="0" w:beforeAutospacing="0" w:after="0" w:afterAutospacing="0" w:line="620" w:lineRule="exact"/>
        <w:ind w:left="0" w:firstLine="480"/>
        <w:jc w:val="both"/>
        <w:rPr>
          <w:rFonts w:ascii="楷体_GB2312" w:eastAsia="楷体_GB2312" w:hint="eastAsia"/>
          <w:b/>
          <w:bCs/>
          <w:color w:val="000000"/>
          <w:sz w:val="32"/>
          <w:szCs w:val="32"/>
        </w:rPr>
      </w:pPr>
      <w:r>
        <w:rPr>
          <w:rFonts w:ascii="楷体_GB2312" w:eastAsia="楷体_GB2312" w:hint="eastAsia"/>
          <w:b/>
          <w:bCs/>
          <w:color w:val="000000"/>
          <w:sz w:val="32"/>
          <w:szCs w:val="32"/>
        </w:rPr>
        <w:t>（三）政府信息管理情况</w:t>
      </w:r>
    </w:p>
    <w:p>
      <w:pPr>
        <w:pStyle w:val="16"/>
        <w:spacing w:before="0" w:beforeAutospacing="0" w:after="0" w:afterAutospacing="0" w:line="620" w:lineRule="exact"/>
        <w:ind w:firstLineChars="200" w:firstLine="640"/>
        <w:jc w:val="both"/>
        <w:rPr>
          <w:rFonts w:ascii="仿宋_GB2312" w:eastAsia="仿宋_GB2312" w:cs="仿宋_GB2312" w:hint="eastAsia"/>
          <w:color w:val="000000"/>
          <w:sz w:val="32"/>
          <w:szCs w:val="32"/>
          <w:shd w:val="clear" w:color="auto" w:fill="FFFFFF"/>
        </w:rPr>
      </w:pPr>
      <w:bookmarkStart w:id="0" w:name="_GoBack"/>
      <w:bookmarkEnd w:id="0"/>
      <w:r>
        <w:rPr>
          <w:rFonts w:ascii="仿宋_GB2312" w:eastAsia="仿宋_GB2312" w:cs="仿宋_GB2312" w:hint="eastAsia"/>
          <w:color w:val="000000"/>
          <w:sz w:val="32"/>
          <w:szCs w:val="32"/>
          <w:shd w:val="clear" w:color="auto" w:fill="FFFFFF"/>
        </w:rPr>
        <w:t>加强政府信息源头管控，严格明确公文主动公开、依申请公开、不公开等属性，并随文报批。严格履行上网信息发布审核程序，对需要发布的信息内容、格式、文字等进行严格核查，确保发布时不出现原则性错误。同时，对需要发布的相关政策、规范性文件，做到政策解读并行，确保政策落实不走样、发布的信息导向清晰。</w:t>
      </w:r>
    </w:p>
    <w:p>
      <w:pPr>
        <w:pStyle w:val="16"/>
        <w:spacing w:before="0" w:beforeAutospacing="0" w:after="0" w:afterAutospacing="0" w:line="620" w:lineRule="exact"/>
        <w:ind w:left="0" w:firstLine="480"/>
        <w:jc w:val="both"/>
        <w:rPr>
          <w:rFonts w:ascii="楷体_GB2312" w:eastAsia="楷体_GB2312" w:hint="eastAsia"/>
          <w:b/>
          <w:bCs/>
          <w:color w:val="000000"/>
          <w:sz w:val="32"/>
          <w:szCs w:val="32"/>
        </w:rPr>
      </w:pPr>
      <w:r>
        <w:rPr>
          <w:rFonts w:ascii="楷体_GB2312" w:eastAsia="楷体_GB2312" w:hint="eastAsia"/>
          <w:b/>
          <w:bCs/>
          <w:color w:val="000000"/>
          <w:sz w:val="32"/>
          <w:szCs w:val="32"/>
        </w:rPr>
        <w:t>（四）网站平台建设情况</w:t>
      </w:r>
    </w:p>
    <w:p>
      <w:pPr>
        <w:pStyle w:val="16"/>
        <w:spacing w:before="0" w:beforeAutospacing="0" w:after="0" w:afterAutospacing="0" w:line="620" w:lineRule="exact"/>
        <w:ind w:left="0" w:firstLineChars="200" w:firstLine="640"/>
        <w:jc w:val="both"/>
        <w:rPr>
          <w:rFonts w:hint="eastAsia"/>
          <w:color w:val="000000"/>
        </w:rPr>
      </w:pPr>
      <w:r>
        <w:rPr>
          <w:rFonts w:ascii="仿宋_GB2312" w:eastAsia="仿宋_GB2312" w:hint="eastAsia"/>
          <w:b w:val="0"/>
          <w:bCs w:val="0"/>
          <w:i w:val="0"/>
          <w:iCs w:val="0"/>
          <w:caps w:val="0"/>
          <w:smallCaps w:val="0"/>
          <w:vanish w:val="0"/>
          <w:color w:val="000000"/>
          <w:spacing w:val="0"/>
          <w:sz w:val="32"/>
          <w:szCs w:val="32"/>
        </w:rPr>
        <w:t>按要求科学规划设置信息公开栏目及相应子栏目，优化栏目页面设置、检索功能、下载功能、数据互联互通功能，方便社会公众快速准确获取所需政府信息。按照政府网站集约化建设及政务公开工作有关要求，认真抓好网站集约化平台建设管理，完成政务服务统一入口、服务平台数据同源等工作。2021年</w:t>
      </w:r>
      <w:r>
        <w:rPr>
          <w:rFonts w:ascii="仿宋_GB2312" w:eastAsia="仿宋_GB2312" w:hint="eastAsia"/>
          <w:vanish w:val="0"/>
          <w:color w:val="000000"/>
          <w:sz w:val="32"/>
          <w:szCs w:val="32"/>
        </w:rPr>
        <w:t>网站全年访问量达</w:t>
      </w:r>
      <w:r>
        <w:rPr>
          <w:rFonts w:ascii="仿宋_GB2312" w:eastAsia="仿宋_GB2312"/>
          <w:vanish w:val="0"/>
          <w:color w:val="000000"/>
          <w:sz w:val="32"/>
          <w:szCs w:val="32"/>
        </w:rPr>
        <w:t>173100次。</w:t>
      </w:r>
    </w:p>
    <w:p>
      <w:pPr>
        <w:pStyle w:val="16"/>
        <w:spacing w:before="0" w:beforeAutospacing="0" w:after="0" w:afterAutospacing="0" w:line="620" w:lineRule="exact"/>
        <w:ind w:left="0" w:firstLine="480"/>
        <w:jc w:val="both"/>
        <w:rPr>
          <w:rFonts w:ascii="楷体_GB2312" w:eastAsia="楷体_GB2312" w:hint="eastAsia"/>
          <w:b/>
          <w:bCs/>
          <w:color w:val="000000"/>
          <w:sz w:val="32"/>
          <w:szCs w:val="32"/>
        </w:rPr>
      </w:pPr>
      <w:r>
        <w:rPr>
          <w:rFonts w:ascii="楷体_GB2312" w:eastAsia="楷体_GB2312" w:hint="eastAsia"/>
          <w:b/>
          <w:bCs/>
          <w:color w:val="000000"/>
          <w:sz w:val="32"/>
          <w:szCs w:val="32"/>
        </w:rPr>
        <w:t>（五）监督保障情况</w:t>
      </w:r>
    </w:p>
    <w:p>
      <w:pPr>
        <w:pStyle w:val="16"/>
        <w:shd w:val="clear" w:color="auto" w:fill="FFFFFF"/>
        <w:spacing w:before="0" w:beforeAutospacing="0" w:after="0" w:afterAutospacing="0" w:line="620" w:lineRule="exact"/>
        <w:ind w:firstLineChars="200" w:firstLine="640"/>
        <w:jc w:val="both"/>
        <w:rPr>
          <w:rFonts w:ascii="仿宋_GB2312" w:eastAsia="仿宋_GB2312"/>
          <w:b w:val="0"/>
          <w:bCs w:val="0"/>
          <w:i w:val="0"/>
          <w:iCs w:val="0"/>
          <w:caps w:val="0"/>
          <w:smallCaps w:val="0"/>
          <w:vanish w:val="0"/>
          <w:color w:val="000000"/>
          <w:spacing w:val="0"/>
          <w:sz w:val="32"/>
          <w:szCs w:val="32"/>
        </w:rPr>
      </w:pPr>
      <w:r>
        <w:rPr>
          <w:rFonts w:ascii="仿宋_GB2312" w:eastAsia="仿宋_GB2312" w:hint="eastAsia"/>
          <w:color w:val="000000"/>
          <w:sz w:val="32"/>
          <w:szCs w:val="32"/>
        </w:rPr>
        <w:t>加强日常监督。将信息公开纳入目标考核工作中，常态化开展政务公开情况自查及内部通报，督促各单位落实好信息公开的相关要求。</w:t>
      </w:r>
      <w:r>
        <w:rPr>
          <w:rFonts w:ascii="仿宋_GB2312" w:eastAsia="仿宋_GB2312" w:hint="eastAsia"/>
          <w:b w:val="0"/>
          <w:bCs w:val="0"/>
          <w:i w:val="0"/>
          <w:iCs w:val="0"/>
          <w:caps w:val="0"/>
          <w:smallCaps w:val="0"/>
          <w:vanish w:val="0"/>
          <w:color w:val="000000"/>
          <w:spacing w:val="0"/>
          <w:sz w:val="32"/>
          <w:szCs w:val="32"/>
        </w:rPr>
        <w:t>抓好</w:t>
      </w:r>
      <w:r>
        <w:rPr>
          <w:rFonts w:ascii="仿宋_GB2312" w:eastAsia="仿宋_GB2312"/>
          <w:b w:val="0"/>
          <w:bCs w:val="0"/>
          <w:i w:val="0"/>
          <w:iCs w:val="0"/>
          <w:caps w:val="0"/>
          <w:smallCaps w:val="0"/>
          <w:vanish w:val="0"/>
          <w:color w:val="000000"/>
          <w:spacing w:val="0"/>
          <w:sz w:val="32"/>
          <w:szCs w:val="32"/>
        </w:rPr>
        <w:t>网站</w:t>
      </w:r>
      <w:r>
        <w:rPr>
          <w:rFonts w:ascii="仿宋_GB2312" w:eastAsia="仿宋_GB2312" w:hint="eastAsia"/>
          <w:b w:val="0"/>
          <w:bCs w:val="0"/>
          <w:i w:val="0"/>
          <w:iCs w:val="0"/>
          <w:caps w:val="0"/>
          <w:smallCaps w:val="0"/>
          <w:vanish w:val="0"/>
          <w:color w:val="000000"/>
          <w:spacing w:val="0"/>
          <w:sz w:val="32"/>
          <w:szCs w:val="32"/>
        </w:rPr>
        <w:t>日常整改，及时制定整改方案，并确保整改落到实处。</w:t>
      </w:r>
    </w:p>
    <w:p>
      <w:pPr>
        <w:pStyle w:val="16"/>
        <w:shd w:val="clear" w:color="auto" w:fill="FFFFFF"/>
        <w:spacing w:before="0" w:beforeAutospacing="0" w:after="0" w:afterAutospacing="0" w:line="620" w:lineRule="exact"/>
        <w:ind w:firstLineChars="200" w:firstLine="640"/>
        <w:jc w:val="both"/>
        <w:rPr>
          <w:rFonts w:ascii="仿宋_GB2312" w:eastAsia="仿宋_GB2312"/>
          <w:color w:val="000000"/>
          <w:sz w:val="32"/>
          <w:szCs w:val="32"/>
        </w:rPr>
      </w:pPr>
      <w:r>
        <w:rPr>
          <w:rFonts w:ascii="黑体" w:eastAsia="黑体" w:hint="eastAsia"/>
          <w:b/>
          <w:bCs/>
          <w:color w:val="000000"/>
          <w:sz w:val="32"/>
          <w:szCs w:val="32"/>
        </w:rPr>
        <w:t>二、主动公开政府信息情况</w:t>
      </w:r>
    </w:p>
    <w:tbl>
      <w:tblPr>
        <w:jc w:val="center"/>
        <w:tblW w:w="9740"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2425"/>
        <w:gridCol w:w="2445"/>
        <w:gridCol w:w="2435"/>
        <w:gridCol w:w="2435"/>
      </w:tblGrid>
      <w:tr>
        <w:trPr>
          <w:trHeight w:val="340"/>
        </w:trPr>
        <w:tc>
          <w:tcPr>
            <w:tcW w:w="9740" w:type="dxa"/>
            <w:gridSpan w:val="4"/>
            <w:tcBorders>
              <w:top w:val="single" w:sz="8" w:space="0" w:color="auto"/>
              <w:left w:val="single" w:sz="8" w:space="0" w:color="auto"/>
              <w:bottom w:val="single" w:sz="8" w:space="0" w:color="auto"/>
              <w:right w:val="single" w:sz="8" w:space="0" w:color="auto"/>
              <w:tl2br w:val="nil"/>
              <w:tr2bl w:val="nil"/>
            </w:tcBorders>
            <w:shd w:val="clear" w:color="auto" w:fill="C6D9F1"/>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第二十条第（一）项</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信息内容</w:t>
            </w:r>
          </w:p>
        </w:tc>
        <w:tc>
          <w:tcPr>
            <w:tcW w:w="2445"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本年制发件数</w:t>
            </w:r>
          </w:p>
        </w:tc>
        <w:tc>
          <w:tcPr>
            <w:tcW w:w="2435"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本年废止件数</w:t>
            </w:r>
          </w:p>
        </w:tc>
        <w:tc>
          <w:tcPr>
            <w:tcW w:w="2435"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现行有效件数</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规章</w:t>
            </w:r>
          </w:p>
        </w:tc>
        <w:tc>
          <w:tcPr>
            <w:tcW w:w="244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color w:val="000000"/>
                <w:spacing w:val="0"/>
                <w:sz w:val="20"/>
                <w:szCs w:val="20"/>
              </w:rPr>
              <w:t>0</w:t>
            </w:r>
          </w:p>
        </w:tc>
        <w:tc>
          <w:tcPr>
            <w:tcW w:w="243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color w:val="000000"/>
                <w:spacing w:val="0"/>
                <w:sz w:val="20"/>
                <w:szCs w:val="20"/>
              </w:rPr>
              <w:t>0</w:t>
            </w:r>
          </w:p>
        </w:tc>
        <w:tc>
          <w:tcPr>
            <w:tcW w:w="243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行政规范性文件</w:t>
            </w:r>
          </w:p>
        </w:tc>
        <w:tc>
          <w:tcPr>
            <w:tcW w:w="244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color w:val="000000"/>
                <w:spacing w:val="0"/>
                <w:sz w:val="20"/>
                <w:szCs w:val="20"/>
              </w:rPr>
              <w:t>0</w:t>
            </w:r>
          </w:p>
        </w:tc>
        <w:tc>
          <w:tcPr>
            <w:tcW w:w="243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color w:val="000000"/>
                <w:spacing w:val="0"/>
                <w:sz w:val="20"/>
                <w:szCs w:val="20"/>
              </w:rPr>
              <w:t>1</w:t>
            </w:r>
          </w:p>
        </w:tc>
        <w:tc>
          <w:tcPr>
            <w:tcW w:w="2435"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6</w:t>
            </w:r>
          </w:p>
        </w:tc>
      </w:tr>
      <w:tr>
        <w:trPr>
          <w:trHeight w:val="340"/>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第二十条第（五）项</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信息内容</w:t>
            </w:r>
          </w:p>
        </w:tc>
        <w:tc>
          <w:tcPr>
            <w:tcW w:w="7315" w:type="dxa"/>
            <w:gridSpan w:val="3"/>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本年处理决定数量</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行政许可</w:t>
            </w:r>
          </w:p>
        </w:tc>
        <w:tc>
          <w:tcPr>
            <w:tcW w:w="7315" w:type="dxa"/>
            <w:gridSpan w:val="3"/>
            <w:tcBorders>
              <w:top w:val="nil"/>
              <w:left w:val="nil"/>
              <w:bottom w:val="single" w:sz="8" w:space="0" w:color="auto"/>
              <w:right w:val="single" w:sz="8" w:space="0" w:color="auto"/>
              <w:tl2br w:val="nil"/>
              <w:tr2bl w:val="nil"/>
            </w:tcBorders>
            <w:vAlign w:val="center"/>
          </w:tcPr>
          <w:p>
            <w:pPr>
              <w:spacing w:line="620" w:lineRule="exact"/>
              <w:jc w:val="center"/>
              <w:rPr>
                <w:rFonts w:ascii="宋体" w:eastAsia="宋体" w:hint="eastAsia"/>
                <w:color w:val="000000"/>
                <w:spacing w:val="0"/>
                <w:sz w:val="24"/>
                <w:szCs w:val="24"/>
              </w:rPr>
            </w:pPr>
            <w:r>
              <w:rPr>
                <w:rFonts w:ascii="宋体" w:hint="eastAsia"/>
                <w:color w:val="000000"/>
                <w:sz w:val="20"/>
                <w:szCs w:val="20"/>
              </w:rPr>
              <w:t>2569</w:t>
            </w:r>
          </w:p>
        </w:tc>
      </w:tr>
      <w:tr>
        <w:trPr>
          <w:trHeight w:val="340"/>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第二十条第（六）项</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Calibri" w:eastAsia="宋体" w:hAnsi="Calibri"/>
                <w:color w:val="000000"/>
                <w:spacing w:val="0"/>
                <w:sz w:val="21"/>
                <w:szCs w:val="21"/>
              </w:rPr>
            </w:pPr>
            <w:r>
              <w:rPr>
                <w:rFonts w:ascii="宋体" w:eastAsia="宋体" w:hint="eastAsia"/>
                <w:color w:val="000000"/>
                <w:spacing w:val="0"/>
                <w:sz w:val="20"/>
                <w:szCs w:val="20"/>
              </w:rPr>
              <w:t>信息内容</w:t>
            </w:r>
          </w:p>
        </w:tc>
        <w:tc>
          <w:tcPr>
            <w:tcW w:w="7315" w:type="dxa"/>
            <w:gridSpan w:val="3"/>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firstLine="0"/>
              <w:rPr>
                <w:rFonts w:ascii="Calibri" w:eastAsia="宋体" w:hAnsi="Calibri"/>
                <w:color w:val="000000"/>
                <w:spacing w:val="0"/>
                <w:sz w:val="21"/>
                <w:szCs w:val="21"/>
              </w:rPr>
            </w:pPr>
            <w:r>
              <w:rPr>
                <w:rFonts w:ascii="宋体" w:eastAsia="宋体" w:hint="eastAsia"/>
                <w:color w:val="000000"/>
                <w:spacing w:val="0"/>
                <w:sz w:val="20"/>
                <w:szCs w:val="20"/>
              </w:rPr>
              <w:t>本年处理决定数量</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行政处罚</w:t>
            </w:r>
          </w:p>
        </w:tc>
        <w:tc>
          <w:tcPr>
            <w:tcW w:w="7315" w:type="dxa"/>
            <w:gridSpan w:val="3"/>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hint="eastAsia"/>
                <w:color w:val="000000"/>
                <w:spacing w:val="0"/>
                <w:sz w:val="20"/>
                <w:szCs w:val="20"/>
              </w:rPr>
              <w:t>　</w:t>
            </w:r>
            <w:r>
              <w:rPr>
                <w:rFonts w:ascii="宋体" w:eastAsia="宋体"/>
                <w:color w:val="000000"/>
                <w:spacing w:val="0"/>
                <w:sz w:val="20"/>
                <w:szCs w:val="20"/>
              </w:rPr>
              <w:t>921</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行政强制</w:t>
            </w:r>
          </w:p>
        </w:tc>
        <w:tc>
          <w:tcPr>
            <w:tcW w:w="7315" w:type="dxa"/>
            <w:gridSpan w:val="3"/>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1"/>
                <w:szCs w:val="21"/>
              </w:rPr>
            </w:pPr>
            <w:r>
              <w:rPr>
                <w:rFonts w:ascii="宋体" w:eastAsia="宋体" w:hint="eastAsia"/>
                <w:color w:val="000000"/>
                <w:spacing w:val="0"/>
                <w:sz w:val="20"/>
                <w:szCs w:val="20"/>
              </w:rPr>
              <w:t>　</w:t>
            </w:r>
            <w:r>
              <w:rPr>
                <w:rFonts w:ascii="宋体" w:eastAsia="宋体"/>
                <w:color w:val="000000"/>
                <w:spacing w:val="0"/>
                <w:sz w:val="20"/>
                <w:szCs w:val="20"/>
              </w:rPr>
              <w:t>3</w:t>
            </w:r>
          </w:p>
        </w:tc>
      </w:tr>
      <w:tr>
        <w:trPr>
          <w:trHeight w:val="340"/>
        </w:trPr>
        <w:tc>
          <w:tcPr>
            <w:tcW w:w="9740" w:type="dxa"/>
            <w:gridSpan w:val="4"/>
            <w:tcBorders>
              <w:top w:val="nil"/>
              <w:left w:val="single" w:sz="8" w:space="0" w:color="auto"/>
              <w:bottom w:val="single" w:sz="8" w:space="0" w:color="auto"/>
              <w:right w:val="single" w:sz="8" w:space="0" w:color="auto"/>
              <w:tl2br w:val="nil"/>
              <w:tr2bl w:val="nil"/>
            </w:tcBorders>
            <w:shd w:val="clear" w:color="auto" w:fill="C6D9F1"/>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第二十条第（八）项</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信息内容</w:t>
            </w:r>
          </w:p>
        </w:tc>
        <w:tc>
          <w:tcPr>
            <w:tcW w:w="7315" w:type="dxa"/>
            <w:gridSpan w:val="3"/>
            <w:tcBorders>
              <w:top w:val="nil"/>
              <w:left w:val="nil"/>
              <w:bottom w:val="single" w:sz="8" w:space="0" w:color="auto"/>
              <w:right w:val="single" w:sz="8" w:space="0" w:color="000000"/>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本年收费金额（单位：万元）</w:t>
            </w:r>
          </w:p>
        </w:tc>
      </w:tr>
      <w:tr>
        <w:trPr>
          <w:trHeight w:val="340"/>
        </w:trPr>
        <w:tc>
          <w:tcPr>
            <w:tcW w:w="2425"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1"/>
                <w:szCs w:val="21"/>
              </w:rPr>
            </w:pPr>
            <w:r>
              <w:rPr>
                <w:rFonts w:ascii="宋体" w:eastAsia="宋体" w:hint="eastAsia"/>
                <w:color w:val="000000"/>
                <w:spacing w:val="0"/>
                <w:sz w:val="20"/>
                <w:szCs w:val="20"/>
              </w:rPr>
              <w:t>行政事业性收费</w:t>
            </w:r>
          </w:p>
        </w:tc>
        <w:tc>
          <w:tcPr>
            <w:tcW w:w="7315" w:type="dxa"/>
            <w:gridSpan w:val="3"/>
            <w:tcBorders>
              <w:top w:val="nil"/>
              <w:left w:val="nil"/>
              <w:bottom w:val="single" w:sz="8" w:space="0" w:color="auto"/>
              <w:right w:val="single" w:sz="8" w:space="0" w:color="000000"/>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234.50</w:t>
            </w:r>
          </w:p>
        </w:tc>
      </w:tr>
    </w:tbl>
    <w:p>
      <w:pPr>
        <w:pStyle w:val="16"/>
        <w:spacing w:before="0" w:beforeAutospacing="0" w:after="0" w:afterAutospacing="0" w:line="620" w:lineRule="exact"/>
        <w:ind w:firstLineChars="150" w:firstLine="480"/>
        <w:jc w:val="both"/>
        <w:rPr>
          <w:rFonts w:ascii="黑体" w:eastAsia="黑体"/>
          <w:b/>
          <w:bCs/>
          <w:color w:val="000000"/>
          <w:sz w:val="32"/>
          <w:szCs w:val="32"/>
        </w:rPr>
      </w:pPr>
      <w:r>
        <w:rPr>
          <w:rFonts w:ascii="黑体" w:eastAsia="黑体" w:hint="eastAsia"/>
          <w:b/>
          <w:bCs/>
          <w:color w:val="000000"/>
          <w:sz w:val="32"/>
          <w:szCs w:val="32"/>
        </w:rPr>
        <w:t>三、收到和处理政府信息公开申请情况</w:t>
      </w:r>
    </w:p>
    <w:tbl>
      <w:tblPr>
        <w:jc w:val="center"/>
        <w:tblW w:w="9748"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15" w:type="dxa"/>
          <w:left w:w="15" w:type="dxa"/>
          <w:bottom w:w="15" w:type="dxa"/>
          <w:right w:w="15" w:type="dxa"/>
        </w:tblCellMar>
      </w:tblPr>
      <w:tblGrid>
        <w:gridCol w:w="754"/>
        <w:gridCol w:w="921"/>
        <w:gridCol w:w="3272"/>
        <w:gridCol w:w="686"/>
        <w:gridCol w:w="686"/>
        <w:gridCol w:w="686"/>
        <w:gridCol w:w="686"/>
        <w:gridCol w:w="686"/>
        <w:gridCol w:w="686"/>
        <w:gridCol w:w="686"/>
      </w:tblGrid>
      <w:tr>
        <w:tc>
          <w:tcPr>
            <w:tcW w:w="4947" w:type="dxa"/>
            <w:gridSpan w:val="3"/>
            <w:vMerge w:val="restart"/>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楷体_GB2312" w:eastAsia="楷体_GB2312" w:hint="eastAsia"/>
                <w:color w:val="000000"/>
                <w:spacing w:val="0"/>
                <w:sz w:val="20"/>
                <w:szCs w:val="20"/>
              </w:rPr>
            </w:pPr>
            <w:r>
              <w:rPr>
                <w:rFonts w:ascii="楷体" w:eastAsia="楷体" w:hint="eastAsia"/>
                <w:color w:val="000000"/>
                <w:spacing w:val="0"/>
                <w:sz w:val="20"/>
                <w:szCs w:val="20"/>
              </w:rPr>
              <w:t>（本列数据的勾稽关系为：第一项加第二项之和，等于第三项加第四项之和）</w:t>
            </w:r>
          </w:p>
        </w:tc>
        <w:tc>
          <w:tcPr>
            <w:tcW w:w="4802" w:type="dxa"/>
            <w:gridSpan w:val="7"/>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申请人情况</w:t>
            </w:r>
          </w:p>
        </w:tc>
      </w:tr>
      <w:tr>
        <w:tc>
          <w:tcPr>
            <w:tcW w:w="4947" w:type="dxa"/>
            <w:gridSpan w:val="3"/>
            <w:vMerge/>
            <w:tcBorders>
              <w:top w:val="single" w:sz="8" w:space="0" w:color="auto"/>
              <w:left w:val="single" w:sz="8" w:space="0" w:color="auto"/>
              <w:bottom w:val="single" w:sz="8" w:space="0" w:color="auto"/>
              <w:right w:val="single" w:sz="8" w:space="0" w:color="auto"/>
              <w:tl2br w:val="nil"/>
              <w:tr2bl w:val="nil"/>
            </w:tcBorders>
            <w:vAlign w:val="center"/>
          </w:tcPr>
          <w:p/>
        </w:tc>
        <w:tc>
          <w:tcPr>
            <w:tcW w:w="686" w:type="dxa"/>
            <w:vMerge w:val="restart"/>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自然人</w:t>
            </w:r>
          </w:p>
        </w:tc>
        <w:tc>
          <w:tcPr>
            <w:tcW w:w="3430" w:type="dxa"/>
            <w:gridSpan w:val="5"/>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法人或其他组织</w:t>
            </w:r>
          </w:p>
        </w:tc>
        <w:tc>
          <w:tcPr>
            <w:tcW w:w="686" w:type="dxa"/>
            <w:vMerge w:val="restart"/>
            <w:tcBorders>
              <w:top w:val="single" w:sz="8" w:space="0" w:color="auto"/>
              <w:left w:val="nil"/>
              <w:bottom w:val="inset"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总计</w:t>
            </w:r>
          </w:p>
        </w:tc>
      </w:tr>
      <w:tr>
        <w:tc>
          <w:tcPr>
            <w:tcW w:w="4947" w:type="dxa"/>
            <w:gridSpan w:val="3"/>
            <w:vMerge/>
            <w:tcBorders>
              <w:top w:val="single" w:sz="8" w:space="0" w:color="auto"/>
              <w:left w:val="single" w:sz="8" w:space="0" w:color="auto"/>
              <w:bottom w:val="single" w:sz="8" w:space="0" w:color="auto"/>
              <w:right w:val="single" w:sz="8" w:space="0" w:color="auto"/>
              <w:tl2br w:val="nil"/>
              <w:tr2bl w:val="nil"/>
            </w:tcBorders>
            <w:vAlign w:val="center"/>
          </w:tcPr>
          <w:p/>
        </w:tc>
        <w:tc>
          <w:tcPr>
            <w:tcW w:w="686" w:type="dxa"/>
            <w:vMerge/>
            <w:tcBorders>
              <w:top w:val="nil"/>
              <w:left w:val="nil"/>
              <w:bottom w:val="single" w:sz="8" w:space="0" w:color="auto"/>
              <w:right w:val="single" w:sz="8" w:space="0" w:color="auto"/>
              <w:tl2br w:val="nil"/>
              <w:tr2bl w:val="nil"/>
            </w:tcBorders>
            <w:vAlign w:val="center"/>
          </w:tcP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商业</w:t>
            </w:r>
          </w:p>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企业</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科研</w:t>
            </w:r>
          </w:p>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机构</w:t>
            </w:r>
          </w:p>
        </w:tc>
        <w:tc>
          <w:tcPr>
            <w:tcW w:w="686"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社会公益组织</w:t>
            </w:r>
          </w:p>
        </w:tc>
        <w:tc>
          <w:tcPr>
            <w:tcW w:w="686"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法律服务机构</w:t>
            </w:r>
          </w:p>
        </w:tc>
        <w:tc>
          <w:tcPr>
            <w:tcW w:w="686"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其他</w:t>
            </w:r>
          </w:p>
        </w:tc>
        <w:tc>
          <w:tcPr>
            <w:tcW w:w="686" w:type="dxa"/>
            <w:vMerge/>
            <w:tcBorders>
              <w:top w:val="single" w:sz="8" w:space="0" w:color="auto"/>
              <w:left w:val="nil"/>
              <w:bottom w:val="inset" w:sz="8" w:space="0" w:color="auto"/>
              <w:right w:val="single" w:sz="8" w:space="0" w:color="auto"/>
              <w:tl2br w:val="nil"/>
              <w:tr2bl w:val="nil"/>
            </w:tcBorders>
            <w:vAlign w:val="center"/>
          </w:tcPr>
          <w:p/>
        </w:tc>
      </w:tr>
      <w:tr>
        <w:tc>
          <w:tcPr>
            <w:tcW w:w="4947" w:type="dxa"/>
            <w:gridSpan w:val="3"/>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一、本年新收政府信息公开申请数量</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7</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1 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8</w:t>
            </w:r>
          </w:p>
        </w:tc>
      </w:tr>
      <w:tr>
        <w:tc>
          <w:tcPr>
            <w:tcW w:w="4947" w:type="dxa"/>
            <w:gridSpan w:val="3"/>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二、上年结转政府信息公开申请数量</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val="restart"/>
            <w:tcBorders>
              <w:top w:val="nil"/>
              <w:left w:val="single" w:sz="8" w:space="0" w:color="auto"/>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三、本年度办理结果</w:t>
            </w:r>
          </w:p>
        </w:tc>
        <w:tc>
          <w:tcPr>
            <w:tcW w:w="4193" w:type="dxa"/>
            <w:gridSpan w:val="2"/>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（一）予以公开</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4193" w:type="dxa"/>
            <w:gridSpan w:val="2"/>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（二）部分公开</w:t>
            </w:r>
            <w:r>
              <w:rPr>
                <w:rFonts w:ascii="楷体" w:eastAsia="楷体" w:hint="eastAsia"/>
                <w:color w:val="000000"/>
                <w:spacing w:val="0"/>
                <w:sz w:val="20"/>
                <w:szCs w:val="20"/>
              </w:rPr>
              <w:t>（区分处理的，只计这一情形，不计其他情形）</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1</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1</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val="restart"/>
            <w:tcBorders>
              <w:top w:val="nil"/>
              <w:left w:val="nil"/>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（三）不予公开</w:t>
            </w: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1.属于国家秘密</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single" w:sz="8" w:space="0" w:color="auto"/>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2.其他法律行政法规禁止公开</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3.危及“三安全一稳定”</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4.保护第三方合法权益</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5.属于三类内部事务信息</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6.属于四类过程性信息</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7.属于行政执法案卷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8.属于行政查询事项</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3</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3</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val="restart"/>
            <w:tcBorders>
              <w:top w:val="nil"/>
              <w:left w:val="nil"/>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（四）无法提供</w:t>
            </w: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1.本机关不掌握相关政府信息</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3</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1</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4 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2.没有现成信息需要另行制作</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3.补正后申请内容仍不明确</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val="restart"/>
            <w:tcBorders>
              <w:top w:val="nil"/>
              <w:left w:val="nil"/>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（五）不予处理</w:t>
            </w: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1.信访举报投诉类申请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2.重复申请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3.要求提供公开出版物</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4.无正当理由大量反复申请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rPr>
          <w:trHeight w:val="779"/>
        </w:trP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nil"/>
              <w:left w:val="nil"/>
              <w:bottom w:val="inset" w:sz="8" w:space="0" w:color="auto"/>
              <w:right w:val="single" w:sz="8" w:space="0" w:color="auto"/>
              <w:tl2br w:val="nil"/>
              <w:tr2bl w:val="nil"/>
            </w:tcBorders>
            <w:vAlign w:val="center"/>
          </w:tcPr>
          <w:p/>
        </w:tc>
        <w:tc>
          <w:tcPr>
            <w:tcW w:w="3272" w:type="dxa"/>
            <w:tcBorders>
              <w:top w:val="nil"/>
              <w:left w:val="nil"/>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5.要求行政机关确认或重新出具已获取信息</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inset"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val="restart"/>
            <w:tcBorders>
              <w:top w:val="inset" w:sz="8" w:space="0" w:color="auto"/>
              <w:left w:val="nil"/>
              <w:bottom w:val="inset"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（六）其他处理</w:t>
            </w:r>
          </w:p>
        </w:tc>
        <w:tc>
          <w:tcPr>
            <w:tcW w:w="3272" w:type="dxa"/>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1.申请人无正当理由逾期不补正、行政机关不再处理其政府信息公开申请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inset" w:sz="8" w:space="0" w:color="auto"/>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2.申请人逾期未按收费通知要求缴纳费用、行政机关不再处理其政府信息公开申请</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921" w:type="dxa"/>
            <w:vMerge/>
            <w:tcBorders>
              <w:top w:val="inset" w:sz="8" w:space="0" w:color="auto"/>
              <w:left w:val="nil"/>
              <w:bottom w:val="inset" w:sz="8" w:space="0" w:color="auto"/>
              <w:right w:val="single" w:sz="8" w:space="0" w:color="auto"/>
              <w:tl2br w:val="nil"/>
              <w:tr2bl w:val="nil"/>
            </w:tcBorders>
            <w:vAlign w:val="center"/>
          </w:tcPr>
          <w:p/>
        </w:tc>
        <w:tc>
          <w:tcPr>
            <w:tcW w:w="3272" w:type="dxa"/>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3.其他</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r>
      <w:tr>
        <w:tc>
          <w:tcPr>
            <w:tcW w:w="754" w:type="dxa"/>
            <w:vMerge/>
            <w:tcBorders>
              <w:top w:val="nil"/>
              <w:left w:val="single" w:sz="8" w:space="0" w:color="auto"/>
              <w:bottom w:val="inset" w:sz="8" w:space="0" w:color="auto"/>
              <w:right w:val="single" w:sz="8" w:space="0" w:color="auto"/>
              <w:tl2br w:val="nil"/>
              <w:tr2bl w:val="nil"/>
            </w:tcBorders>
            <w:vAlign w:val="center"/>
          </w:tcPr>
          <w:p/>
        </w:tc>
        <w:tc>
          <w:tcPr>
            <w:tcW w:w="4193" w:type="dxa"/>
            <w:gridSpan w:val="2"/>
            <w:tcBorders>
              <w:top w:val="nil"/>
              <w:left w:val="nil"/>
              <w:bottom w:val="single" w:sz="8" w:space="0" w:color="auto"/>
              <w:right w:val="single" w:sz="8" w:space="0" w:color="auto"/>
              <w:tl2br w:val="nil"/>
              <w:tr2bl w:val="nil"/>
            </w:tcBorders>
            <w:vAlign w:val="center"/>
          </w:tcPr>
          <w:p>
            <w:pPr>
              <w:spacing w:before="0" w:after="0" w:line="620" w:lineRule="exact"/>
              <w:ind w:right="0"/>
              <w:rPr>
                <w:rFonts w:ascii="宋体" w:eastAsia="宋体" w:hint="eastAsia"/>
                <w:color w:val="000000"/>
                <w:spacing w:val="0"/>
                <w:sz w:val="20"/>
                <w:szCs w:val="20"/>
              </w:rPr>
            </w:pPr>
            <w:r>
              <w:rPr>
                <w:rFonts w:ascii="宋体" w:eastAsia="宋体" w:hint="eastAsia"/>
                <w:color w:val="000000"/>
                <w:spacing w:val="0"/>
                <w:sz w:val="20"/>
                <w:szCs w:val="20"/>
              </w:rPr>
              <w:t>（七）总计</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7</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1</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0 </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8</w:t>
            </w:r>
          </w:p>
        </w:tc>
      </w:tr>
      <w:tr>
        <w:tc>
          <w:tcPr>
            <w:tcW w:w="4947" w:type="dxa"/>
            <w:gridSpan w:val="3"/>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rPr>
                <w:rFonts w:ascii="Calibri" w:eastAsia="宋体" w:hAnsi="Calibri"/>
                <w:color w:val="000000"/>
                <w:spacing w:val="0"/>
                <w:sz w:val="20"/>
                <w:szCs w:val="20"/>
              </w:rPr>
            </w:pPr>
            <w:r>
              <w:rPr>
                <w:rFonts w:ascii="宋体" w:eastAsia="宋体" w:hint="eastAsia"/>
                <w:color w:val="000000"/>
                <w:spacing w:val="0"/>
                <w:sz w:val="20"/>
                <w:szCs w:val="20"/>
              </w:rPr>
              <w:t>四、结转下年度继续办理</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Calibri" w:eastAsia="宋体" w:hAnsi="Calibri"/>
                <w:color w:val="000000"/>
                <w:spacing w:val="0"/>
                <w:sz w:val="20"/>
                <w:szCs w:val="20"/>
              </w:rPr>
            </w:pPr>
            <w:r>
              <w:rPr>
                <w:rFonts w:ascii="Calibri" w:eastAsia="宋体" w:hAnsi="Calibri"/>
                <w:color w:val="000000"/>
                <w:spacing w:val="0"/>
                <w:sz w:val="20"/>
                <w:szCs w:val="20"/>
              </w:rPr>
              <w:t> 0</w:t>
            </w:r>
          </w:p>
        </w:tc>
        <w:tc>
          <w:tcPr>
            <w:tcW w:w="686" w:type="dxa"/>
            <w:tcBorders>
              <w:top w:val="nil"/>
              <w:left w:val="nil"/>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r>
    </w:tbl>
    <w:p>
      <w:pPr>
        <w:pStyle w:val="16"/>
        <w:spacing w:before="0" w:beforeAutospacing="0" w:after="0" w:afterAutospacing="0" w:line="620" w:lineRule="exact"/>
        <w:ind w:left="0" w:firstLineChars="150" w:firstLine="480"/>
        <w:jc w:val="both"/>
        <w:rPr>
          <w:rFonts w:ascii="黑体" w:eastAsia="黑体"/>
          <w:b/>
          <w:bCs/>
          <w:color w:val="000000"/>
          <w:sz w:val="32"/>
          <w:szCs w:val="32"/>
        </w:rPr>
      </w:pPr>
      <w:r>
        <w:rPr>
          <w:rFonts w:ascii="黑体" w:eastAsia="黑体" w:hint="eastAsia"/>
          <w:b/>
          <w:bCs/>
          <w:color w:val="000000"/>
          <w:sz w:val="32"/>
          <w:szCs w:val="32"/>
        </w:rPr>
        <w:t>四、政府信息公开行政复议、行政诉讼情况</w:t>
      </w:r>
    </w:p>
    <w:tbl>
      <w:tblPr>
        <w:jc w:val="center"/>
        <w:tblW w:w="9763"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15" w:type="dxa"/>
          <w:left w:w="15" w:type="dxa"/>
          <w:bottom w:w="15" w:type="dxa"/>
          <w:right w:w="15" w:type="dxa"/>
        </w:tblCellMar>
      </w:tblPr>
      <w:tblGrid>
        <w:gridCol w:w="669"/>
        <w:gridCol w:w="649"/>
        <w:gridCol w:w="649"/>
        <w:gridCol w:w="649"/>
        <w:gridCol w:w="649"/>
        <w:gridCol w:w="649"/>
        <w:gridCol w:w="649"/>
        <w:gridCol w:w="650"/>
        <w:gridCol w:w="650"/>
        <w:gridCol w:w="650"/>
        <w:gridCol w:w="650"/>
        <w:gridCol w:w="650"/>
        <w:gridCol w:w="650"/>
        <w:gridCol w:w="650"/>
        <w:gridCol w:w="650"/>
      </w:tblGrid>
      <w:tr>
        <w:tc>
          <w:tcPr>
            <w:tcW w:w="3265" w:type="dxa"/>
            <w:gridSpan w:val="5"/>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行政诉讼</w:t>
            </w:r>
          </w:p>
        </w:tc>
      </w:tr>
      <w:tr>
        <w:tc>
          <w:tcPr>
            <w:tcW w:w="669" w:type="dxa"/>
            <w:vMerge w:val="restart"/>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结果维持</w:t>
            </w:r>
          </w:p>
        </w:tc>
        <w:tc>
          <w:tcPr>
            <w:tcW w:w="649" w:type="dxa"/>
            <w:vMerge w:val="restart"/>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w:t>
              <w:br/>
              <w:t>纠正</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其他</w:t>
              <w:br/>
              <w:t>结果</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尚未</w:t>
              <w:br/>
              <w:t>审结</w:t>
            </w:r>
          </w:p>
        </w:tc>
        <w:tc>
          <w:tcPr>
            <w:tcW w:w="649" w:type="dxa"/>
            <w:vMerge w:val="restart"/>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复议后起诉</w:t>
            </w:r>
          </w:p>
        </w:tc>
      </w:tr>
      <w:tr>
        <w:tc>
          <w:tcPr>
            <w:tcW w:w="649" w:type="dxa"/>
            <w:vMerge/>
            <w:tcBorders>
              <w:top w:val="nil"/>
              <w:left w:val="single" w:sz="8" w:space="0" w:color="auto"/>
              <w:bottom w:val="single" w:sz="8" w:space="0" w:color="auto"/>
              <w:right w:val="single" w:sz="8" w:space="0" w:color="auto"/>
              <w:tl2br w:val="nil"/>
              <w:tr2bl w:val="nil"/>
            </w:tcBorders>
            <w:vAlign w:val="center"/>
          </w:tcPr>
          <w:p/>
        </w:tc>
        <w:tc>
          <w:tcPr>
            <w:tcW w:w="649" w:type="dxa"/>
            <w:vMerge/>
            <w:tcBorders>
              <w:top w:val="nil"/>
              <w:left w:val="single" w:sz="8" w:space="0" w:color="auto"/>
              <w:bottom w:val="single" w:sz="8" w:space="0" w:color="auto"/>
              <w:right w:val="single" w:sz="8" w:space="0" w:color="auto"/>
              <w:tl2br w:val="nil"/>
              <w:tr2bl w:val="nil"/>
            </w:tcBorders>
            <w:vAlign w:val="center"/>
          </w:tcPr>
          <w:p/>
        </w:tc>
        <w:tc>
          <w:tcPr>
            <w:tcW w:w="649" w:type="dxa"/>
            <w:vMerge/>
            <w:tcBorders>
              <w:top w:val="single" w:sz="8" w:space="0" w:color="auto"/>
              <w:left w:val="single" w:sz="8" w:space="0" w:color="auto"/>
              <w:bottom w:val="single" w:sz="8" w:space="0" w:color="auto"/>
              <w:right w:val="single" w:sz="8" w:space="0" w:color="auto"/>
              <w:tl2br w:val="nil"/>
              <w:tr2bl w:val="nil"/>
            </w:tcBorders>
            <w:vAlign w:val="center"/>
          </w:tcPr>
          <w:p/>
        </w:tc>
        <w:tc>
          <w:tcPr>
            <w:tcW w:w="649" w:type="dxa"/>
            <w:vMerge/>
            <w:tcBorders>
              <w:top w:val="single" w:sz="8" w:space="0" w:color="auto"/>
              <w:left w:val="single" w:sz="8" w:space="0" w:color="auto"/>
              <w:bottom w:val="single" w:sz="8" w:space="0" w:color="auto"/>
              <w:right w:val="single" w:sz="8" w:space="0" w:color="auto"/>
              <w:tl2br w:val="nil"/>
              <w:tr2bl w:val="nil"/>
            </w:tcBorders>
            <w:vAlign w:val="center"/>
          </w:tcPr>
          <w:p/>
        </w:tc>
        <w:tc>
          <w:tcPr>
            <w:tcW w:w="649" w:type="dxa"/>
            <w:vMerge/>
            <w:tcBorders>
              <w:top w:val="single" w:sz="8" w:space="0" w:color="auto"/>
              <w:left w:val="single" w:sz="8" w:space="0" w:color="auto"/>
              <w:bottom w:val="single" w:sz="8" w:space="0" w:color="auto"/>
              <w:right w:val="single" w:sz="8" w:space="0" w:color="auto"/>
              <w:tl2br w:val="nil"/>
              <w:tr2bl w:val="nil"/>
            </w:tcBorders>
            <w:vAlign w:val="center"/>
          </w:tcP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w:t>
              <w:br/>
              <w:t>维持</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w:t>
              <w:br/>
              <w:t>纠正</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其他</w:t>
              <w:br/>
              <w:t>结果</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尚未</w:t>
              <w:br/>
              <w:t>审结</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总计</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w:t>
              <w:br/>
              <w:t>维持</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结果</w:t>
              <w:br/>
              <w:t>纠正</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其他</w:t>
              <w:br/>
              <w:t>结果</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尚未</w:t>
              <w:br/>
              <w:t>审结</w:t>
            </w:r>
          </w:p>
        </w:tc>
        <w:tc>
          <w:tcPr>
            <w:tcW w:w="650" w:type="dxa"/>
            <w:tcBorders>
              <w:top w:val="single" w:sz="8" w:space="0" w:color="auto"/>
              <w:left w:val="single" w:sz="8" w:space="0" w:color="auto"/>
              <w:bottom w:val="single" w:sz="8" w:space="0" w:color="auto"/>
              <w:right w:val="single" w:sz="8" w:space="0" w:color="auto"/>
              <w:tl2br w:val="nil"/>
              <w:tr2bl w:val="nil"/>
            </w:tcBorders>
            <w:vAlign w:val="center"/>
          </w:tcPr>
          <w:p>
            <w:pPr>
              <w:spacing w:before="0" w:after="0" w:line="620" w:lineRule="exact"/>
              <w:ind w:right="0" w:firstLine="0"/>
              <w:rPr>
                <w:rFonts w:ascii="黑体" w:eastAsia="黑体" w:hint="eastAsia"/>
                <w:color w:val="000000"/>
                <w:spacing w:val="0"/>
                <w:sz w:val="20"/>
                <w:szCs w:val="20"/>
              </w:rPr>
            </w:pPr>
            <w:r>
              <w:rPr>
                <w:rFonts w:ascii="宋体" w:eastAsia="宋体" w:hint="eastAsia"/>
                <w:color w:val="000000"/>
                <w:spacing w:val="0"/>
                <w:sz w:val="20"/>
                <w:szCs w:val="20"/>
              </w:rPr>
              <w:t>总计</w:t>
            </w:r>
          </w:p>
        </w:tc>
      </w:tr>
      <w:tr>
        <w:trPr>
          <w:trHeight w:val="672"/>
        </w:trPr>
        <w:tc>
          <w:tcPr>
            <w:tcW w:w="66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1</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1</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49"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2</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2</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c>
          <w:tcPr>
            <w:tcW w:w="650" w:type="dxa"/>
            <w:tcBorders>
              <w:top w:val="nil"/>
              <w:left w:val="single" w:sz="8" w:space="0" w:color="auto"/>
              <w:bottom w:val="single" w:sz="8" w:space="0" w:color="auto"/>
              <w:right w:val="single" w:sz="8" w:space="0" w:color="auto"/>
              <w:tl2br w:val="nil"/>
              <w:tr2bl w:val="nil"/>
            </w:tcBorders>
            <w:vAlign w:val="center"/>
          </w:tcPr>
          <w:p>
            <w:pPr>
              <w:spacing w:before="0" w:after="0" w:line="620" w:lineRule="exact"/>
              <w:ind w:right="0"/>
              <w:jc w:val="center"/>
              <w:rPr>
                <w:rFonts w:ascii="宋体" w:eastAsia="宋体" w:hint="eastAsia"/>
                <w:color w:val="000000"/>
                <w:spacing w:val="0"/>
                <w:sz w:val="24"/>
                <w:szCs w:val="24"/>
              </w:rPr>
            </w:pPr>
            <w:r>
              <w:rPr>
                <w:rFonts w:ascii="宋体" w:eastAsia="宋体"/>
                <w:color w:val="000000"/>
                <w:spacing w:val="0"/>
                <w:sz w:val="24"/>
                <w:szCs w:val="24"/>
              </w:rPr>
              <w:t>0</w:t>
            </w:r>
          </w:p>
        </w:tc>
      </w:tr>
    </w:tbl>
    <w:p>
      <w:pPr>
        <w:pStyle w:val="16"/>
        <w:shd w:val="clear" w:color="auto" w:fill="FFFFFF"/>
        <w:spacing w:before="0" w:beforeAutospacing="0" w:after="0" w:afterAutospacing="0" w:line="540" w:lineRule="exact"/>
        <w:ind w:right="0" w:firstLineChars="200" w:firstLine="640"/>
        <w:jc w:val="both"/>
        <w:rPr>
          <w:rFonts w:ascii="黑体" w:eastAsia="黑体" w:hint="eastAsia"/>
          <w:color w:val="000000"/>
          <w:spacing w:val="0"/>
          <w:sz w:val="32"/>
          <w:szCs w:val="32"/>
        </w:rPr>
      </w:pPr>
      <w:r>
        <w:rPr>
          <w:rFonts w:ascii="黑体" w:eastAsia="黑体" w:hint="eastAsia"/>
          <w:b/>
          <w:bCs/>
          <w:color w:val="000000"/>
          <w:sz w:val="32"/>
          <w:szCs w:val="32"/>
        </w:rPr>
        <w:t>五、存在的</w:t>
      </w:r>
      <w:r>
        <w:rPr>
          <w:rFonts w:ascii="黑体" w:eastAsia="黑体" w:hint="eastAsia"/>
          <w:b/>
          <w:bCs/>
          <w:color w:val="000000"/>
          <w:spacing w:val="0"/>
          <w:sz w:val="32"/>
          <w:szCs w:val="32"/>
        </w:rPr>
        <w:t>主要问题及改进情况</w:t>
      </w:r>
    </w:p>
    <w:p>
      <w:pPr>
        <w:pStyle w:val="16"/>
        <w:shd w:val="clear" w:color="auto" w:fill="FFFFFF"/>
        <w:spacing w:before="0" w:beforeAutospacing="0" w:after="0" w:afterAutospacing="0" w:line="540" w:lineRule="exact"/>
        <w:ind w:right="0" w:firstLineChars="200" w:firstLine="640"/>
        <w:jc w:val="both"/>
        <w:rPr>
          <w:rFonts w:ascii="仿宋_GB2312" w:eastAsia="仿宋_GB2312" w:hint="eastAsia"/>
          <w:b w:val="0"/>
          <w:bCs w:val="0"/>
          <w:i w:val="0"/>
          <w:iCs w:val="0"/>
          <w:caps w:val="0"/>
          <w:smallCaps w:val="0"/>
          <w:color w:val="000000"/>
          <w:spacing w:val="0"/>
          <w:sz w:val="32"/>
          <w:szCs w:val="32"/>
          <w:shd w:val="clear" w:color="auto" w:fill="FFFFFF"/>
        </w:rPr>
      </w:pPr>
      <w:r>
        <w:rPr>
          <w:rFonts w:ascii="仿宋_GB2312" w:eastAsia="仿宋_GB2312" w:hint="eastAsia"/>
          <w:b w:val="0"/>
          <w:bCs w:val="0"/>
          <w:i w:val="0"/>
          <w:iCs w:val="0"/>
          <w:caps w:val="0"/>
          <w:smallCaps w:val="0"/>
          <w:color w:val="000000"/>
          <w:spacing w:val="0"/>
          <w:sz w:val="32"/>
          <w:szCs w:val="32"/>
          <w:shd w:val="clear" w:color="auto" w:fill="FFFFFF"/>
        </w:rPr>
        <w:t>我局政府信息公开工作虽然取得了较好的成效，但与公众日益增长的交通信息需求还存在差距。主要表现在：一是对部分规范性文件、政策的解读生动性不够，解读形式不够丰富；二是信息公开的相关专栏设置和信息公开的方式方法有待进一步完善、拓展；三是对所属单位信息公开的指导力度有待进一步增强。新的一年，我局将以推进交通运输政务公开标准化规范化建设为契机，进一步做好政府信息公开工作。</w:t>
      </w:r>
      <w:r>
        <w:rPr>
          <w:rFonts w:ascii="仿宋_GB2312" w:eastAsia="仿宋_GB2312" w:hint="eastAsia"/>
          <w:b w:val="0"/>
          <w:bCs w:val="0"/>
          <w:i w:val="0"/>
          <w:iCs w:val="0"/>
          <w:caps w:val="0"/>
          <w:smallCaps w:val="0"/>
          <w:vanish w:val="0"/>
          <w:color w:val="000000"/>
          <w:spacing w:val="0"/>
          <w:sz w:val="32"/>
          <w:szCs w:val="32"/>
        </w:rPr>
        <w:t>一是丰富解读方式，加大政策文件解读力度，从传统文字型解读向图片、视频等多种形式转变，提升解读材料易读性。</w:t>
      </w:r>
      <w:r>
        <w:rPr>
          <w:rFonts w:ascii="仿宋_GB2312" w:eastAsia="仿宋_GB2312" w:hint="eastAsia"/>
          <w:b w:val="0"/>
          <w:bCs w:val="0"/>
          <w:i w:val="0"/>
          <w:iCs w:val="0"/>
          <w:caps w:val="0"/>
          <w:smallCaps w:val="0"/>
          <w:color w:val="000000"/>
          <w:spacing w:val="0"/>
          <w:sz w:val="32"/>
          <w:szCs w:val="32"/>
          <w:shd w:val="clear" w:color="auto" w:fill="FFFFFF"/>
        </w:rPr>
        <w:t>二是不断优化信息公开栏目设置，及时充实相关信息内容，全面、准确公开政府信息；三是进一步加大对所属基层单位信息公开工作的指导力度，督促所属有关单位依照有关规定全面、准确、及时公开政府信息，确保信息公开工作各项要求落到实处。</w:t>
      </w:r>
    </w:p>
    <w:p>
      <w:pPr>
        <w:pStyle w:val="16"/>
        <w:shd w:val="clear" w:color="auto" w:fill="FFFFFF"/>
        <w:spacing w:before="0" w:beforeAutospacing="0" w:after="0" w:afterAutospacing="0" w:line="540" w:lineRule="exact"/>
        <w:ind w:left="0" w:right="0" w:firstLineChars="200" w:firstLine="640"/>
        <w:jc w:val="both"/>
        <w:rPr>
          <w:rFonts w:ascii="黑体" w:eastAsia="黑体" w:hint="eastAsia"/>
          <w:b/>
          <w:bCs/>
          <w:color w:val="000000"/>
          <w:sz w:val="32"/>
          <w:szCs w:val="32"/>
        </w:rPr>
      </w:pPr>
      <w:r>
        <w:rPr>
          <w:rFonts w:ascii="黑体" w:eastAsia="黑体" w:hint="eastAsia"/>
          <w:b/>
          <w:bCs/>
          <w:color w:val="000000"/>
          <w:sz w:val="32"/>
          <w:szCs w:val="32"/>
        </w:rPr>
        <w:t>六、其他需要报告的事项</w:t>
      </w:r>
    </w:p>
    <w:p>
      <w:pPr>
        <w:pStyle w:val="16"/>
        <w:spacing w:before="0" w:beforeAutospacing="0" w:after="0" w:afterAutospacing="0" w:line="540" w:lineRule="exact"/>
        <w:ind w:firstLineChars="200" w:firstLine="640"/>
        <w:jc w:val="both"/>
        <w:rPr>
          <w:rFonts w:ascii="仿宋_GB2312" w:eastAsia="仿宋_GB2312" w:cs="仿宋_GB2312" w:hint="eastAsia"/>
          <w:color w:val="000000"/>
          <w:sz w:val="32"/>
          <w:szCs w:val="32"/>
          <w:shd w:val="clear" w:color="auto" w:fill="FFFFFF"/>
        </w:rPr>
      </w:pPr>
      <w:r>
        <w:rPr>
          <w:rFonts w:ascii="仿宋_GB2312" w:eastAsia="仿宋_GB2312" w:hint="eastAsia"/>
          <w:color w:val="000000"/>
          <w:spacing w:val="0"/>
          <w:sz w:val="32"/>
          <w:szCs w:val="32"/>
        </w:rPr>
        <w:t>无</w:t>
      </w:r>
    </w:p>
    <w:sectPr>
      <w:pgSz w:w="11907" w:h="16840"/>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
    <w:altName w:val="楷体_GB2312"/>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2"/>
  <w:noPunctuationKerning/>
  <w:noLineBreaksAfter w:lang="zh-CN" w:val="$([{£¥·‘“〈《「『【〔〖〝﹙﹛﹝＄（．［｛￡￥"/>
  <w:noLineBreaksBefore w:lang="zh-CN" w:val="!%),.:;&gt;?]}¢¨°·ˇˉ―‖’”…‰′″›℃∶、。〃〉》」』】〕〗〞︶︺︾﹀﹄﹚﹜﹞！＂％＇），．：；？］｀｜｝～￠"/>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jc w:val="both"/>
      <w:textAlignment w:val="baseline"/>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index 6"/>
    <w:basedOn w:val="0"/>
    <w:autoRedefine/>
    <w:next w:val="0"/>
    <w:pPr>
      <w:ind w:left="2100"/>
    </w:pPr>
  </w:style>
  <w:style w:type="paragraph" w:styleId="16">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348</TotalTime>
  <Application>Yozo_Office27021597764231179</Application>
  <Pages>6</Pages>
  <Words>2164</Words>
  <Characters>2242</Characters>
  <Lines>371</Lines>
  <Paragraphs>303</Paragraphs>
  <CharactersWithSpaces>2410</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2021-05-08T07:28:00Z</dcterms:created>
  <dcterms:modified xsi:type="dcterms:W3CDTF">2022-01-24T03:01:09Z</dcterms:modified>
</cp:coreProperties>
</file>